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MINISTARSTVO ZNANOSTI, OBRAZOVANJA I SPORTA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Na temelju članka 22., stavka 8. </w:t>
      </w:r>
      <w:hyperlink r:id="rId5" w:history="1">
        <w:r w:rsidRPr="001C5E73">
          <w:rPr>
            <w:rFonts w:ascii="Arial" w:eastAsia="Times New Roman" w:hAnsi="Arial" w:cs="Arial"/>
            <w:b/>
            <w:bCs/>
            <w:color w:val="497FD7"/>
            <w:sz w:val="21"/>
            <w:szCs w:val="21"/>
            <w:u w:val="single"/>
          </w:rPr>
          <w:t>Zakona o odgoju i obrazovanju u osnovnoj i srednjoj školi</w:t>
        </w:r>
      </w:hyperlink>
      <w:r w:rsidRPr="001C5E73">
        <w:rPr>
          <w:rFonts w:ascii="Arial" w:eastAsia="Times New Roman" w:hAnsi="Arial" w:cs="Arial"/>
          <w:color w:val="414145"/>
          <w:sz w:val="21"/>
          <w:szCs w:val="21"/>
        </w:rPr>
        <w:t> (»Narodne novine«, br. 87/2008., 86/2009., 92/2010., 105/2010., 90/2011., 16/2012., 86/2012., 94/2013. i 152/2014.) ministar znanosti, obrazovanja i sporta donosi</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w:t>
      </w:r>
    </w:p>
    <w:p w:rsidR="001C5E73" w:rsidRPr="001C5E73" w:rsidRDefault="001C5E73" w:rsidP="001C5E73">
      <w:pPr>
        <w:spacing w:before="390" w:after="90" w:line="403" w:lineRule="atLeast"/>
        <w:jc w:val="center"/>
        <w:outlineLvl w:val="2"/>
        <w:rPr>
          <w:rFonts w:ascii="Arial" w:eastAsia="Times New Roman" w:hAnsi="Arial" w:cs="Arial"/>
          <w:b/>
          <w:bCs/>
          <w:caps/>
          <w:color w:val="414145"/>
          <w:sz w:val="27"/>
          <w:szCs w:val="27"/>
        </w:rPr>
      </w:pPr>
      <w:r w:rsidRPr="001C5E73">
        <w:rPr>
          <w:rFonts w:ascii="Arial" w:eastAsia="Times New Roman" w:hAnsi="Arial" w:cs="Arial"/>
          <w:b/>
          <w:bCs/>
          <w:caps/>
          <w:color w:val="414145"/>
          <w:sz w:val="27"/>
          <w:szCs w:val="27"/>
        </w:rPr>
        <w:t>PRAVILNIK O ELEMENTIMA I KRITERIJIMA ZA IZBOR KANDIDATA ZA UPIS U I. RAZRED SREDNJE ŠKOLE</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Pročišćeni tekst</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NN </w:t>
      </w:r>
      <w:hyperlink r:id="rId6" w:history="1">
        <w:r w:rsidRPr="001C5E73">
          <w:rPr>
            <w:rFonts w:ascii="Arial" w:eastAsia="Times New Roman" w:hAnsi="Arial" w:cs="Arial"/>
            <w:b/>
            <w:bCs/>
            <w:color w:val="497FD7"/>
            <w:sz w:val="21"/>
            <w:szCs w:val="21"/>
            <w:u w:val="single"/>
          </w:rPr>
          <w:t>49/15</w:t>
        </w:r>
      </w:hyperlink>
      <w:r w:rsidRPr="001C5E73">
        <w:rPr>
          <w:rFonts w:ascii="Arial" w:eastAsia="Times New Roman" w:hAnsi="Arial" w:cs="Arial"/>
          <w:color w:val="414145"/>
          <w:sz w:val="21"/>
          <w:szCs w:val="21"/>
        </w:rPr>
        <w:t>, </w:t>
      </w:r>
      <w:hyperlink r:id="rId7" w:history="1">
        <w:r w:rsidRPr="001C5E73">
          <w:rPr>
            <w:rFonts w:ascii="Arial" w:eastAsia="Times New Roman" w:hAnsi="Arial" w:cs="Arial"/>
            <w:b/>
            <w:bCs/>
            <w:color w:val="497FD7"/>
            <w:sz w:val="21"/>
            <w:szCs w:val="21"/>
            <w:u w:val="single"/>
          </w:rPr>
          <w:t>109/16</w:t>
        </w:r>
      </w:hyperlink>
      <w:r w:rsidRPr="001C5E73">
        <w:rPr>
          <w:rFonts w:ascii="Arial" w:eastAsia="Times New Roman" w:hAnsi="Arial" w:cs="Arial"/>
          <w:color w:val="414145"/>
          <w:sz w:val="21"/>
          <w:szCs w:val="21"/>
        </w:rPr>
        <w:t>, </w:t>
      </w:r>
      <w:hyperlink r:id="rId8" w:history="1">
        <w:r w:rsidRPr="001C5E73">
          <w:rPr>
            <w:rFonts w:ascii="Arial" w:eastAsia="Times New Roman" w:hAnsi="Arial" w:cs="Arial"/>
            <w:b/>
            <w:bCs/>
            <w:color w:val="497FD7"/>
            <w:sz w:val="21"/>
            <w:szCs w:val="21"/>
            <w:u w:val="single"/>
          </w:rPr>
          <w:t>47/17</w:t>
        </w:r>
      </w:hyperlink>
      <w:r w:rsidRPr="001C5E73">
        <w:rPr>
          <w:rFonts w:ascii="Arial" w:eastAsia="Times New Roman" w:hAnsi="Arial" w:cs="Arial"/>
          <w:color w:val="414145"/>
          <w:sz w:val="21"/>
          <w:szCs w:val="21"/>
        </w:rPr>
        <w:t>, </w:t>
      </w:r>
      <w:hyperlink r:id="rId9" w:history="1">
        <w:r w:rsidRPr="001C5E73">
          <w:rPr>
            <w:rFonts w:ascii="Arial" w:eastAsia="Times New Roman" w:hAnsi="Arial" w:cs="Arial"/>
            <w:b/>
            <w:bCs/>
            <w:color w:val="497FD7"/>
            <w:sz w:val="21"/>
            <w:szCs w:val="21"/>
            <w:u w:val="single"/>
          </w:rPr>
          <w:t>39/22</w:t>
        </w:r>
      </w:hyperlink>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I. OPĆE ODREDBE</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1.</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Ovim pravilnikom utvrđuju se zajednički, dodatni i posebni elementi i kriteriji za izbor kandidata za upis u I. razred srednje škole u Republici Hrvatskoj.</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Izrazi koji se koriste u ovom pravilniku, a koji imaju rodno značenje, bez obzira na to jesu li korišteni u muškome ili ženskome rodu, obuhvaćaju na jednak način i muški i ženski rod.</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2.</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Pravo upisa u prvi razred srednje škole imaju svi kandidati nakon završenog osnovnog obrazovanja, pod jednakim uvjetima u okviru broja utvrđenog odlukom o upisu koju za svaku školsku godinu donosi ministar nadležan za obrazovanje (u daljnjemu tekstu: ministar).</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Pod jednakim uvjetima u srednje škole upisuju se kandidati hrvatski državljani, Hrvati iz drugih država te djeca državljana iz država članica Europske unije.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(4) Dobne granice za upis kandidata u pojedine programe srednjega umjetničkog obrazovanja propisane su zakonom koji uređuje umjetničko obrazovanje.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(5) Prijave i upis kandidata u prve razrede srednjih škola provode se putem Nacionalnog informacijskog sustava prijava i upisa u srednje škole (NISpuSŠ), osim u posebnim slučajevima propisanim odlukom o upisu iz stavka 1. ovoga članka.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(6) U svakome upisnom roku kandidat može prijaviti najviše 6 odabira programa obrazovanja.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3. (NN </w:t>
      </w:r>
      <w:hyperlink r:id="rId10" w:history="1">
        <w:r w:rsidRPr="001C5E73">
          <w:rPr>
            <w:rFonts w:ascii="Arial" w:eastAsia="Times New Roman" w:hAnsi="Arial" w:cs="Arial"/>
            <w:b/>
            <w:bCs/>
            <w:color w:val="497FD7"/>
            <w:sz w:val="21"/>
            <w:szCs w:val="21"/>
            <w:u w:val="single"/>
          </w:rPr>
          <w:t>39/22</w:t>
        </w:r>
      </w:hyperlink>
      <w:r w:rsidRPr="001C5E73">
        <w:rPr>
          <w:rFonts w:ascii="Arial" w:eastAsia="Times New Roman" w:hAnsi="Arial" w:cs="Arial"/>
          <w:color w:val="414145"/>
          <w:sz w:val="21"/>
          <w:szCs w:val="21"/>
        </w:rPr>
        <w: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Kandidat koji je strani državljanin iz zemlje izvan Europskog gospodarskog prostora i Švicarske Konfederacije može se upisati u srednju školu kao redoviti učenik bez plaćanja troškova školovanja ako ispunjava jedan od sljedećih uvjeta: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ako za to postoji međudržavni ugovor ili osoba sudjeluje u priznatom državnom ili regionalnom obrazovnom programu razmjene učenika koje je odobrilo ministarstvo nadležno za obrazovanje ili u obrazovnom projektu koji vodi obrazovna ustanova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ako osoba ima odobren privremeni boravak u svrhu spajanja obitelji, privremeni boravak iz humanitarnih razloga, privremeni boravak u druge svrhe, privremeni boravak osobe s dugotrajnim boravištem u drugoj državi članici EGP-a ili odobren stalni boravak ili dugotrajno boravište,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3. ako je roditelj ili skrbnik te osobe diplomatski predstavnik strane države u Hrvatskoj;</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lastRenderedPageBreak/>
        <w:t>4. ako je takva osoba ili roditelj ili skrbnik te osobe azilant ili tražitelj međunarodne zaštite;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5. ako je takva osoba ili roditelj ili skrbnik te osobe stranac pod supsidijarnom zaštitom ili stranac pod privremenom zaštitom.</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Kandidat strani državljanin iz zemalja izvan Europskog gospodarskog prostora i Švicarske Konfederacije, a koji ne ispunjava ni jedan od uvjeta iz stavka 1. ovoga članka, može se upisati u srednju školu kao redoviti učenik uz obvezu plaćanja troškova školarine, ako ima reguliran status boravka sukladno zakonu kojim je uređen status stranaca.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(3) Odluku o godišnjim troškovima školovanja učenika iz stavka 2. ovoga članka donosi osnivač školske ustanove na prijedlog školskoga odbora.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(4) Iznimno od stavka 2. ovoga članka, osnivač može, na prijedlog školskoga odbora, donijeti odluku kojom učenika oslobađa obveze plaćanja troškova školarine.</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4.</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Provjeru znanja iz stavka 1. ovoga članka provodi stručno povjerenstvo srednje škole u koju se kandidat upisuje, o čemu sastavlja zapisnik.</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(3) Provjeru znanja iz stavka 1. ovoga članka kandidat polaže u jednoj školi i rezultati provjere vrijede za prijavu u druge škole koje uvjetuju znanje istoga stranog jezika.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5. (NN </w:t>
      </w:r>
      <w:hyperlink r:id="rId11" w:history="1">
        <w:r w:rsidRPr="001C5E73">
          <w:rPr>
            <w:rFonts w:ascii="Arial" w:eastAsia="Times New Roman" w:hAnsi="Arial" w:cs="Arial"/>
            <w:b/>
            <w:bCs/>
            <w:color w:val="497FD7"/>
            <w:sz w:val="21"/>
            <w:szCs w:val="21"/>
            <w:u w:val="single"/>
          </w:rPr>
          <w:t>39/22</w:t>
        </w:r>
      </w:hyperlink>
      <w:r w:rsidRPr="001C5E73">
        <w:rPr>
          <w:rFonts w:ascii="Arial" w:eastAsia="Times New Roman" w:hAnsi="Arial" w:cs="Arial"/>
          <w:color w:val="414145"/>
          <w:sz w:val="21"/>
          <w:szCs w:val="21"/>
        </w:rPr>
        <w: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Elementi i kriteriji za upis kandidata u I. razred srednje škole propisani ovim pravilnikom koriste se i za upis u međunarodne programe.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Iznimno od stavka 1. ovoga članka, za kandidate koji su u najmanje prethodna tri razreda polazili međunarodni program, a nastavljaju svoje obrazovanje u istom međunarodnom programu, pri upisu u I. razred srednje škole ne primjenjuju se elementi i kriteriji propisani ovom pravilnikom.</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(3) Odluku o troškovima školovanja u međunarodnim programima donosi školski odbor uz suglasnost osnivača.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(4) Za upis u međunarodne programe može se provoditi provjera znanja koju propisuje i provodi škola, osim za kandidate iz stavka 2. ovoga članka.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(5) Provjera znanja iz stavka 4. ovoga članka nije eliminacijska.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II. ELEMENTI VREDNOVANJA I UTVRĐIVANJE UKUPNOGA REZULTATA KANDIDATA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6. (NN </w:t>
      </w:r>
      <w:hyperlink r:id="rId12" w:history="1">
        <w:r w:rsidRPr="001C5E73">
          <w:rPr>
            <w:rFonts w:ascii="Arial" w:eastAsia="Times New Roman" w:hAnsi="Arial" w:cs="Arial"/>
            <w:b/>
            <w:bCs/>
            <w:color w:val="497FD7"/>
            <w:sz w:val="21"/>
            <w:szCs w:val="21"/>
            <w:u w:val="single"/>
          </w:rPr>
          <w:t>39/22</w:t>
        </w:r>
      </w:hyperlink>
      <w:r w:rsidRPr="001C5E73">
        <w:rPr>
          <w:rFonts w:ascii="Arial" w:eastAsia="Times New Roman" w:hAnsi="Arial" w:cs="Arial"/>
          <w:color w:val="414145"/>
          <w:sz w:val="21"/>
          <w:szCs w:val="21"/>
        </w:rPr>
        <w: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Za upis u I. razred srednje škole prijavljenom kandidatu vrednuju se zajednički, dodatan i poseban element.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Ljestvica poretka kandidata utvrđuje se na osnovi bodovanja zajedničkoga i dodatnoga elementa vrednovanja uz dokazivanje zdravstvene sposobnosti kandidata za obavljanje poslova i radnih zadaća u odabranom zanimanju, ako je to za odabrano zanimanje potrebno.</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(3) Iznimno od stavka 2. ovoga članka, pri utvrđivanju ljestvice poretka kandidatima pripadnicima romske nacionalne manjine i kandidatima bez roditelja/skrbnika ili odgovarajuće roditeljske skrbi uz zajednički i dodatni element vrednovanja boduje se i element vrednovanja sukladno članku 21. ovoga Pravilnika.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(4) Ako dva ili više kandidata na zadnjem mjestu ljestvice poretka imaju isti ukupan broj bodova na temelju stavka 2. i 3. ovoga članka, kandidati se upisuju u skladu s člancima 9., 10., 11., 12. i 14. ovoga Pravilnika.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(5) Ako dva ili više kandidata na zadnjem mjestu ljestvice poretka imaju isti ukupan broj bodova na temelju stavaka 2., 3. i 4. ovoga članka upisuje se kandidat koji ostvaruje pravo na poseban element vrednovanja.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lastRenderedPageBreak/>
        <w:t xml:space="preserve">(6) Iznimno od stavka 5. ovoga članka, ako dva ili više kandidata na zadnjem mjestu ljestvice poretka imaju isti ukupan broj bodova na temelju stavaka 2., 3. i 4. ovoga članka i ostvaruju pravo na poseban element vrednovanja upisuju se svi </w:t>
      </w:r>
      <w:proofErr w:type="gramStart"/>
      <w:r w:rsidRPr="001C5E73">
        <w:rPr>
          <w:rFonts w:ascii="Arial" w:eastAsia="Times New Roman" w:hAnsi="Arial" w:cs="Arial"/>
          <w:color w:val="414145"/>
          <w:sz w:val="21"/>
          <w:szCs w:val="21"/>
        </w:rPr>
        <w:t>kandidati..</w:t>
      </w:r>
      <w:proofErr w:type="gramEnd"/>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III. ZAJEDNIČKI ELEMENT VREDNOVANJA KANDIDATA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7.</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Zajednički element vrednovanja za upis kandidata u sve srednjoškolske programe obrazovanja čine prosjeci zaključnih ocjena iz svih nastavnih predmeta na dvije decimale u posljednja četiri razreda osnovnog obrazovanja.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Na takav način moguće je steći najviše 20 bodova.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Za upis kandidata u programe obrazovanja za stjecanje strukovne kvalifikacije u trajanju manjem od tri godine vrednuje se zajednički element iz stavka 1. ovoga članka.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Na takav način moguće je steći najviše 50 bodova.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(4)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ovog Pravilnika, a jedan samostalno određuje srednja škola od obveznih nastavnih predmeta koji se uče u osnovnoj školi. Za programe koji se provode na jeziku i pismu nacionalnih manjina to je, u pravilu, nastavni predmet iz jezika nacionalne manjine (materinski jezik).</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Na takav način moguće je steći najviše 80 bodova.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IV. DODATNI ELEMENT VREDNOVANJA KANDIDATA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8.</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Dodatni element vrednovanja čine sposobnosti, darovitosti i znanja kandidata.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Sposobnosti, darovitosti i znanja kandidata dokazuju se i vrednuju:</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na osnovi provjere (ispitivanja) posebnih znanja, vještina, sposobnosti i darovitosti;</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na osnovi rezultata postignutih na natjecanjima u znanju;</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na osnovi rezultata postignutih na natjecanjima školskih sportskih društava.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Provjera posebnih znanja kandidata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9. (NN </w:t>
      </w:r>
      <w:hyperlink r:id="rId13" w:history="1">
        <w:r w:rsidRPr="001C5E73">
          <w:rPr>
            <w:rFonts w:ascii="Arial" w:eastAsia="Times New Roman" w:hAnsi="Arial" w:cs="Arial"/>
            <w:b/>
            <w:bCs/>
            <w:color w:val="497FD7"/>
            <w:sz w:val="21"/>
            <w:szCs w:val="21"/>
            <w:u w:val="single"/>
          </w:rPr>
          <w:t>39/22</w:t>
        </w:r>
      </w:hyperlink>
      <w:r w:rsidRPr="001C5E73">
        <w:rPr>
          <w:rFonts w:ascii="Arial" w:eastAsia="Times New Roman" w:hAnsi="Arial" w:cs="Arial"/>
          <w:color w:val="414145"/>
          <w:sz w:val="21"/>
          <w:szCs w:val="21"/>
        </w:rPr>
        <w: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Brisan</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lastRenderedPageBreak/>
        <w:t>(3) Za provedbu provjere iz stavka 1. ovoga članka srednje škole moraju Ministarstvu uputiti zahtjev te ishoditi suglasnost.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(4) Zahtjev za suglasnost iz stavka 3. ovoga članka srednje škole dostavljaju Ministarstvu najkasnije do 31. ožujka tekuće školske godine, a za upis u narednu školsku godinu.</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(5) Na temelju provjera iz stavka 1. ovoga članka kandidat može ostvariti najviše 10 bodova.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(6) Provjera iz stavka 1. ovoga članka nije eliminacijska.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(7) Ako dva ili više kandidata na zadnjem mjestu ljestvice poretka imaju isti ukupan broj bodova iz zajedničko i dodatnog elementa vrednovanja upisuje se onaj kandidat koji je ostvario veći broj bodova iz provjere posebnih znanja.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(8) 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(9) Ako dva ili više kandidata na zadnjem mjestu ljestvice poretka imaju isti ukupan broj bodova iz zajedničkog i dodatnog elementa vrednovanja i imaju isti broj bodova iz provjere posebnih znanja te ostvaruju pravo na poseban element vrednovanja, upisuju se svi kandidati.</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(10) Kandidati s teškoćama u razvoju koji imaju rješenje o primjerenome programu obrazovanja, a koji pristupaju provjeri posebnih znanja iz stavka 1. ovoga članka, imaju pravo na prilagodbu ispitne tehnologije.</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Vrednovanje uspjeha radi upisa u programe likovne umjetnosti i dizajna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10. (NN </w:t>
      </w:r>
      <w:hyperlink r:id="rId14" w:history="1">
        <w:r w:rsidRPr="001C5E73">
          <w:rPr>
            <w:rFonts w:ascii="Arial" w:eastAsia="Times New Roman" w:hAnsi="Arial" w:cs="Arial"/>
            <w:b/>
            <w:bCs/>
            <w:color w:val="497FD7"/>
            <w:sz w:val="21"/>
            <w:szCs w:val="21"/>
            <w:u w:val="single"/>
          </w:rPr>
          <w:t>39/22</w:t>
        </w:r>
      </w:hyperlink>
      <w:r w:rsidRPr="001C5E73">
        <w:rPr>
          <w:rFonts w:ascii="Arial" w:eastAsia="Times New Roman" w:hAnsi="Arial" w:cs="Arial"/>
          <w:color w:val="414145"/>
          <w:sz w:val="21"/>
          <w:szCs w:val="21"/>
        </w:rPr>
        <w: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Za upis kandidata u programe likovne umjetnosti i dizajna provjerava se darovitost kandidata za likovno izražavanje jednom od likovnih tehnika koju određuje srednja škola. Navedenom provjerom moguće je ostvariti najviše 120 bodova, a minimalni bodovni prag na navedenoj provjeri je 70 bodova.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Konačna ljestvica poretka kandidata utvrđuje se zbrajanjem bodova dobivenih provjerom darovitosti za likovno izražavanje i zajedničkog i dodatnog elementa vrednovanja.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(3) Ako dva ili više kandidata na zadnjem mjestu ljestvice poretka imaju isti ukupan broj bodova, upisuje se onaj kandidat koji je ostvario veći broj bodova iz provjere darovitosti za likovno izražavanje.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(4) 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(5) 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Vrednovanje uspjeha radi upisa u programe glazbene umjetnosti</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11. (NN </w:t>
      </w:r>
      <w:hyperlink r:id="rId15" w:history="1">
        <w:r w:rsidRPr="001C5E73">
          <w:rPr>
            <w:rFonts w:ascii="Arial" w:eastAsia="Times New Roman" w:hAnsi="Arial" w:cs="Arial"/>
            <w:b/>
            <w:bCs/>
            <w:color w:val="497FD7"/>
            <w:sz w:val="21"/>
            <w:szCs w:val="21"/>
            <w:u w:val="single"/>
          </w:rPr>
          <w:t>39/22</w:t>
        </w:r>
      </w:hyperlink>
      <w:r w:rsidRPr="001C5E73">
        <w:rPr>
          <w:rFonts w:ascii="Arial" w:eastAsia="Times New Roman" w:hAnsi="Arial" w:cs="Arial"/>
          <w:color w:val="414145"/>
          <w:sz w:val="21"/>
          <w:szCs w:val="21"/>
        </w:rPr>
        <w: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Kandidatu koji je uspješno završio osnovno glazbeno obrazovanje ili drugi (II.) pripremni razred srednje glazbene škole za upis u I. razred četverogodišnjega srednjega glazbenog programa vrednuju se: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zajednički i dodatni element vrednovanja;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postignuti opći uspjeh iz petoga i šestoga razreda glazbene škole ili dva razreda pripremnoga obrazovanja;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konačni rezultati ostvareni na prijamnome ispitu glazbene darovitosti.</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xml:space="preserve">(2) Prijamni ispit za instrumentaliste i pjevače obuhvaća provjeru iz temeljnoga predmeta struke i solfeggia, za teoretičara provjeru iz klavira i solfeggia, a za graditelja i restauratora glazbala provjeru solfeggia i </w:t>
      </w:r>
      <w:r w:rsidRPr="001C5E73">
        <w:rPr>
          <w:rFonts w:ascii="Arial" w:eastAsia="Times New Roman" w:hAnsi="Arial" w:cs="Arial"/>
          <w:color w:val="414145"/>
          <w:sz w:val="21"/>
          <w:szCs w:val="21"/>
        </w:rPr>
        <w:lastRenderedPageBreak/>
        <w:t>ocjenu priloženog rada (izgrađeno glazbalo). Na temelju prijamnoga ispita moguće je steći najviše 170 bodova, a minimalni prag na prijamnome ispitu je 70 bodova.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(3) Ako dva ili više kandidata na zadnjem mjestu ljestvice poretkaimaju isti ukupan broj bodova, upisuje se onaj kandidat koji je ostvario veći broj bodova na prijamnome ispitu glazbene darovitosti.</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(4) 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(5)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(6)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Vrednovanje uspjeha za upis u programe plesne umjetnosti</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12. (NN </w:t>
      </w:r>
      <w:hyperlink r:id="rId16" w:history="1">
        <w:r w:rsidRPr="001C5E73">
          <w:rPr>
            <w:rFonts w:ascii="Arial" w:eastAsia="Times New Roman" w:hAnsi="Arial" w:cs="Arial"/>
            <w:b/>
            <w:bCs/>
            <w:color w:val="497FD7"/>
            <w:sz w:val="21"/>
            <w:szCs w:val="21"/>
            <w:u w:val="single"/>
          </w:rPr>
          <w:t>39/22</w:t>
        </w:r>
      </w:hyperlink>
      <w:r w:rsidRPr="001C5E73">
        <w:rPr>
          <w:rFonts w:ascii="Arial" w:eastAsia="Times New Roman" w:hAnsi="Arial" w:cs="Arial"/>
          <w:color w:val="414145"/>
          <w:sz w:val="21"/>
          <w:szCs w:val="21"/>
        </w:rPr>
        <w: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Kandidatu koji je uspješno završio osnovno plesno odnosno baletno obrazovanje ili pripremni razred srednje plesne škole za upis u I. razred četverogodišnjega srednjega plesnog programa vrednuju se: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zajednički i dodatni element vrednovanja;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opći uspjeh iz četvrtoga razreda plesne odnosno baletne škole ili uspjeh iz pripremnoga razreda;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konačni rezultati ostvareni na prijamnome ispitu plesne darovitosti koji uključuje uspjeh iz glavnih plesnih predmeta koje utvrđuje škola i objavljuje u sklopu natječaja za upis.</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Na temelju prijamnoga ispita moguće je steći najviše 115 bodova, a minimalni prag na prijamnome ispitu je 70 bodova.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(3) Ako dva ili više kandidata na zadnjem mjestu ljestvice poretka imaju isti ukupan broj bodova, upisuje se onaj kandidat koji je ostvario veći broj bodova na prijamnome ispitu plesne darovitosti.</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(4) 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(5)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(6) Kandidat koji nije pohađao osnovnu plesnu školu upisuje pripremni razred srednje plesne škole nakon položenoga prijamnog ispita plesne darovitosti. Na prijamnome ispitu može se ostvariti najviše 120 bodova, a minimalni prag je 70 bodova.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(7)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Vrednovanje uspjeha iznimno darovitih kandidata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13.</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lastRenderedPageBreak/>
        <w:t>Vrednovanje uspjeha za upis u razredne odjele za sportaše</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14. (NN </w:t>
      </w:r>
      <w:hyperlink r:id="rId17" w:history="1">
        <w:r w:rsidRPr="001C5E73">
          <w:rPr>
            <w:rFonts w:ascii="Arial" w:eastAsia="Times New Roman" w:hAnsi="Arial" w:cs="Arial"/>
            <w:b/>
            <w:bCs/>
            <w:color w:val="497FD7"/>
            <w:sz w:val="21"/>
            <w:szCs w:val="21"/>
            <w:u w:val="single"/>
          </w:rPr>
          <w:t>39/22</w:t>
        </w:r>
      </w:hyperlink>
      <w:r w:rsidRPr="001C5E73">
        <w:rPr>
          <w:rFonts w:ascii="Arial" w:eastAsia="Times New Roman" w:hAnsi="Arial" w:cs="Arial"/>
          <w:color w:val="414145"/>
          <w:sz w:val="21"/>
          <w:szCs w:val="21"/>
        </w:rPr>
        <w: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Pravo prijave za upis u razredne odjele za sportaše ima kandidat koji je uvršten na rang-listu određenoga nacionalnoga sportskoga saveza.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Bodovanje za upis kandidata u I. razred razrednih odjela za sportaše provodi se na sljedeći način:</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maksimalan broj bodova koje kandidat za upis u ove programe može ostvariti na temelju kriterija sportske uspješnosti i uspjeha u prethodnom obrazovanju je 160;</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od navedenoga maksimalnog broja bodova, do 80 bodova kandidat ostvaruje na temelju kriterija sportske uspješnosti, prema izračunu opisanome u stavku 5. ovoga članka;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daljnjih najviše 80 bodova kandidat ostvaruje na temelju zajedničkoga elementa vrednovanja uspjeha u prethodnom školovanju.</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Konačna ljestvica poretka kandidata utvrđuje se zbrajanjem bodova dobivenih prema kriterijima sportske uspješnosti te zajedničkog i dodatnog elementa vrednovanja.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(3) Izračun broja bodova kandidata prema kriterijima sportske uspješnosti uzima u obzir sljedeće parametre: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položaj pojedinoga kandidata na rang-listi matičnoga nacionalnoga sportskog saveza;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ukupan broj kandidata na rang-listi matičnoga nacionalnoga sportskog saveza;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3. skupina u koju je pojedini sport razvrstan, sukladno odluci Povjerenstva za upis učenika u I. razred srednje škole u tekućoj školskoj godini za razredne odjele za sportaše.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4. rang-liste kandidata za svaki nacionalni sportski savez jedinstvene su u smislu da obuhvaćaju i ženske i muške kandidate.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(5) Izračun broja bodova prema kriteriju sportske uspješnosti obavljat će se prema sljedećim izračunima:</w:t>
      </w:r>
    </w:p>
    <w:p w:rsidR="001C5E73" w:rsidRPr="001C5E73" w:rsidRDefault="001C5E73" w:rsidP="001C5E73">
      <w:pPr>
        <w:spacing w:after="0" w:line="240" w:lineRule="auto"/>
        <w:rPr>
          <w:rFonts w:ascii="Arial" w:eastAsia="Times New Roman" w:hAnsi="Arial" w:cs="Arial"/>
          <w:color w:val="414145"/>
          <w:sz w:val="21"/>
          <w:szCs w:val="21"/>
        </w:rPr>
      </w:pPr>
      <w:r w:rsidRPr="001C5E73">
        <w:rPr>
          <w:rFonts w:ascii="Arial" w:eastAsia="Times New Roman" w:hAnsi="Arial" w:cs="Arial"/>
          <w:noProof/>
          <w:color w:val="414145"/>
          <w:sz w:val="21"/>
          <w:szCs w:val="21"/>
        </w:rPr>
        <w:drawing>
          <wp:inline distT="0" distB="0" distL="0" distR="0" wp14:anchorId="01D86FC3" wp14:editId="21BEC282">
            <wp:extent cx="4762500" cy="1228725"/>
            <wp:effectExtent l="0" t="0" r="0" b="9525"/>
            <wp:docPr id="1" name="Slika 1" descr="http://narodne-novine.nn.hr/clanci/sluzbeni/dodatni/435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clanci/sluzbeni/dodatni/43582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1228725"/>
                    </a:xfrm>
                    <a:prstGeom prst="rect">
                      <a:avLst/>
                    </a:prstGeom>
                    <a:noFill/>
                    <a:ln>
                      <a:noFill/>
                    </a:ln>
                  </pic:spPr>
                </pic:pic>
              </a:graphicData>
            </a:graphic>
          </wp:inline>
        </w:drawing>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gdje je: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b                  konačan broj bodova pojedinačnoga kandidata na temelju kriterija sportske uspješnosti;</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N[</w:t>
      </w:r>
      <w:proofErr w:type="gramStart"/>
      <w:r w:rsidRPr="001C5E73">
        <w:rPr>
          <w:rFonts w:ascii="Arial" w:eastAsia="Times New Roman" w:hAnsi="Arial" w:cs="Arial"/>
          <w:color w:val="414145"/>
          <w:sz w:val="21"/>
          <w:szCs w:val="21"/>
        </w:rPr>
        <w:t xml:space="preserve">S]   </w:t>
      </w:r>
      <w:proofErr w:type="gramEnd"/>
      <w:r w:rsidRPr="001C5E73">
        <w:rPr>
          <w:rFonts w:ascii="Arial" w:eastAsia="Times New Roman" w:hAnsi="Arial" w:cs="Arial"/>
          <w:color w:val="414145"/>
          <w:sz w:val="21"/>
          <w:szCs w:val="21"/>
        </w:rPr>
        <w:t>          ukupan broj svih kandidata na rang-listi nacionalnoga saveza za sport S;</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n                  mjesto u poretku pojedinačnoga kandidata na rang--listi odgovarajućega nacionalnog saveza;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Bmin            minimalan broj bodova za kandidate s rang-liste nacionalnoga saveza – smatra se da ga je kandidat                     automatski ostvario samim uvrštenjem na   rang-listu saveza – isti je za sve skupine sportova te iznosi 56 bodova;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Bmax[X]      maksimalan broj bodova za kandidate s rang-liste nacionalnoga saveza sporta iz skupine X – za prvu skupinu                     sportova (X = 1) iznosi 80 bodova, za drugu (X = 2) 72 boda, za treću (X = 3) 64 bodova;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lastRenderedPageBreak/>
        <w:t>M[X]            najveći dopušteni ukupan broj kandidata s brojem bodova većim od Bmin za kandidate s rang-liste                     nacionalnoga saveza za sport iz skupine X – za prvu skupinu sportova (X = 1) iznosi 24 kandidata, za drugu                 </w:t>
      </w:r>
      <w:proofErr w:type="gramStart"/>
      <w:r w:rsidRPr="001C5E73">
        <w:rPr>
          <w:rFonts w:ascii="Arial" w:eastAsia="Times New Roman" w:hAnsi="Arial" w:cs="Arial"/>
          <w:color w:val="414145"/>
          <w:sz w:val="21"/>
          <w:szCs w:val="21"/>
        </w:rPr>
        <w:t>   (</w:t>
      </w:r>
      <w:proofErr w:type="gramEnd"/>
      <w:r w:rsidRPr="001C5E73">
        <w:rPr>
          <w:rFonts w:ascii="Arial" w:eastAsia="Times New Roman" w:hAnsi="Arial" w:cs="Arial"/>
          <w:color w:val="414145"/>
          <w:sz w:val="21"/>
          <w:szCs w:val="21"/>
        </w:rPr>
        <w:t>X = 2) 16 kandidata, za treću (X = 3) 8 kandidata.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(6) Ako dva ili više kandidata na zadnjem mjestu ljestvice poretka imaju isti ukupan broj bodova iz zajedničko i dodatnog elementa vrednovanja upisuje se onaj kandidat koji je ostvario veći broj bodova iz kriterija sportske uspješnosti.</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(7) 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(8) 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Vrednovanje rezultata kandidata postignutih na natjecanjima iz znanja i u sportu</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15.</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Kandidatu se na osnovi članaka 16. i 17. ovoga pravilnika vrednuje isključivo jedno (najpovoljnije) postignuće.</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Vrednovanje rezultata kandidata postignutih na natjecanjima iz znanja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16.</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Pravo na izravan upis ili dodatne bodove ostvaruju kandidati na osnovi rezultata koje su postigli na: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natjecanjima u znanju iz nastavnih predmeta: Hrvatskoga jezika, Matematike, prvoga stranog jezika;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natjecanjima u znanju iz dvaju nastavnih predmeta posebno značajnih za upis u skladu s Popisom predmeta posebno važnih za upis;</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jednome natjecanju iz znanja koji samostalno određuje srednja škola iz Kataloga natjecanja i smotri učenika i učenica osnovnih i srednjih škola Republike Hrvatske, a koja se provode u organizaciji Agencije za odgoj i obrazovanje.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Vrednuju se i boduju rezultati kandidata postignutih na državnim natjecanjima iz znanja iz Kataloga natjecanja i smotri učenika i učenica osnovnih i srednjih škola Republike Hrvatske, koja se provode u organizaciji Agencije za odgoj i obrazovanje, a koja je odobrilo Ministarstvo te međunarodnim natjecanjima koje verificira Agencija za odgoj i obrazovanje, a prema sljedećoj tablici:</w:t>
      </w:r>
    </w:p>
    <w:tbl>
      <w:tblPr>
        <w:tblW w:w="0" w:type="auto"/>
        <w:tblCellMar>
          <w:left w:w="0" w:type="dxa"/>
          <w:right w:w="0" w:type="dxa"/>
        </w:tblCellMar>
        <w:tblLook w:val="04A0" w:firstRow="1" w:lastRow="0" w:firstColumn="1" w:lastColumn="0" w:noHBand="0" w:noVBand="1"/>
      </w:tblPr>
      <w:tblGrid>
        <w:gridCol w:w="2629"/>
        <w:gridCol w:w="3530"/>
        <w:gridCol w:w="3797"/>
      </w:tblGrid>
      <w:tr w:rsidR="001C5E73" w:rsidRPr="001C5E73" w:rsidTr="001C5E73">
        <w:tc>
          <w:tcPr>
            <w:tcW w:w="0" w:type="auto"/>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5E73" w:rsidRPr="001C5E73" w:rsidRDefault="001C5E73" w:rsidP="001C5E73">
            <w:pPr>
              <w:spacing w:after="135" w:line="240" w:lineRule="auto"/>
              <w:rPr>
                <w:rFonts w:ascii="Times New Roman" w:eastAsia="Times New Roman" w:hAnsi="Times New Roman" w:cs="Times New Roman"/>
                <w:sz w:val="24"/>
                <w:szCs w:val="24"/>
              </w:rPr>
            </w:pPr>
            <w:r w:rsidRPr="001C5E73">
              <w:rPr>
                <w:rFonts w:ascii="Times New Roman" w:eastAsia="Times New Roman" w:hAnsi="Times New Roman" w:cs="Times New Roman"/>
                <w:sz w:val="24"/>
                <w:szCs w:val="24"/>
              </w:rPr>
              <w:t>Državna/međunarodna natjecanja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5E73" w:rsidRPr="001C5E73" w:rsidRDefault="001C5E73" w:rsidP="001C5E73">
            <w:pPr>
              <w:spacing w:after="135" w:line="240" w:lineRule="auto"/>
              <w:rPr>
                <w:rFonts w:ascii="Times New Roman" w:eastAsia="Times New Roman" w:hAnsi="Times New Roman" w:cs="Times New Roman"/>
                <w:sz w:val="24"/>
                <w:szCs w:val="24"/>
              </w:rPr>
            </w:pPr>
            <w:r w:rsidRPr="001C5E73">
              <w:rPr>
                <w:rFonts w:ascii="Times New Roman" w:eastAsia="Times New Roman" w:hAnsi="Times New Roman" w:cs="Times New Roman"/>
                <w:sz w:val="24"/>
                <w:szCs w:val="24"/>
              </w:rPr>
              <w:t>Prvo, drugo ili treće osvojeno mjesto kao pojedinac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5E73" w:rsidRPr="001C5E73" w:rsidRDefault="001C5E73" w:rsidP="001C5E73">
            <w:pPr>
              <w:spacing w:after="135" w:line="240" w:lineRule="auto"/>
              <w:rPr>
                <w:rFonts w:ascii="Times New Roman" w:eastAsia="Times New Roman" w:hAnsi="Times New Roman" w:cs="Times New Roman"/>
                <w:sz w:val="24"/>
                <w:szCs w:val="24"/>
              </w:rPr>
            </w:pPr>
            <w:r w:rsidRPr="001C5E73">
              <w:rPr>
                <w:rFonts w:ascii="Times New Roman" w:eastAsia="Times New Roman" w:hAnsi="Times New Roman" w:cs="Times New Roman"/>
                <w:sz w:val="24"/>
                <w:szCs w:val="24"/>
              </w:rPr>
              <w:t>Izravan upis (pod uvjetom da zadovolje na ispitu sposobnosti i darovitosti u školama u kojima je to uvjet za upis)</w:t>
            </w:r>
          </w:p>
        </w:tc>
      </w:tr>
      <w:tr w:rsidR="001C5E73" w:rsidRPr="001C5E73" w:rsidTr="001C5E73">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1C5E73" w:rsidRPr="001C5E73" w:rsidRDefault="001C5E73" w:rsidP="001C5E73">
            <w:pPr>
              <w:spacing w:after="0" w:line="240" w:lineRule="auto"/>
              <w:rPr>
                <w:rFonts w:ascii="Times New Roman" w:eastAsia="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5E73" w:rsidRPr="001C5E73" w:rsidRDefault="001C5E73" w:rsidP="001C5E73">
            <w:pPr>
              <w:spacing w:after="135" w:line="240" w:lineRule="auto"/>
              <w:rPr>
                <w:rFonts w:ascii="Times New Roman" w:eastAsia="Times New Roman" w:hAnsi="Times New Roman" w:cs="Times New Roman"/>
                <w:sz w:val="24"/>
                <w:szCs w:val="24"/>
              </w:rPr>
            </w:pPr>
            <w:r w:rsidRPr="001C5E73">
              <w:rPr>
                <w:rFonts w:ascii="Times New Roman" w:eastAsia="Times New Roman" w:hAnsi="Times New Roman" w:cs="Times New Roman"/>
                <w:sz w:val="24"/>
                <w:szCs w:val="24"/>
              </w:rPr>
              <w:t>Prvo osvojeno mjesto kao član skupine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5E73" w:rsidRPr="001C5E73" w:rsidRDefault="001C5E73" w:rsidP="001C5E73">
            <w:pPr>
              <w:spacing w:after="135" w:line="240" w:lineRule="auto"/>
              <w:rPr>
                <w:rFonts w:ascii="Times New Roman" w:eastAsia="Times New Roman" w:hAnsi="Times New Roman" w:cs="Times New Roman"/>
                <w:sz w:val="24"/>
                <w:szCs w:val="24"/>
              </w:rPr>
            </w:pPr>
            <w:r w:rsidRPr="001C5E73">
              <w:rPr>
                <w:rFonts w:ascii="Times New Roman" w:eastAsia="Times New Roman" w:hAnsi="Times New Roman" w:cs="Times New Roman"/>
                <w:sz w:val="24"/>
                <w:szCs w:val="24"/>
              </w:rPr>
              <w:t>4 boda</w:t>
            </w:r>
          </w:p>
        </w:tc>
      </w:tr>
      <w:tr w:rsidR="001C5E73" w:rsidRPr="001C5E73" w:rsidTr="001C5E73">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1C5E73" w:rsidRPr="001C5E73" w:rsidRDefault="001C5E73" w:rsidP="001C5E73">
            <w:pPr>
              <w:spacing w:after="0" w:line="240" w:lineRule="auto"/>
              <w:rPr>
                <w:rFonts w:ascii="Times New Roman" w:eastAsia="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5E73" w:rsidRPr="001C5E73" w:rsidRDefault="001C5E73" w:rsidP="001C5E73">
            <w:pPr>
              <w:spacing w:after="135" w:line="240" w:lineRule="auto"/>
              <w:rPr>
                <w:rFonts w:ascii="Times New Roman" w:eastAsia="Times New Roman" w:hAnsi="Times New Roman" w:cs="Times New Roman"/>
                <w:sz w:val="24"/>
                <w:szCs w:val="24"/>
              </w:rPr>
            </w:pPr>
            <w:r w:rsidRPr="001C5E73">
              <w:rPr>
                <w:rFonts w:ascii="Times New Roman" w:eastAsia="Times New Roman" w:hAnsi="Times New Roman" w:cs="Times New Roman"/>
                <w:sz w:val="24"/>
                <w:szCs w:val="24"/>
              </w:rPr>
              <w:t>Drugo osvojeno mjesto kao član skupine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5E73" w:rsidRPr="001C5E73" w:rsidRDefault="001C5E73" w:rsidP="001C5E73">
            <w:pPr>
              <w:spacing w:after="135" w:line="240" w:lineRule="auto"/>
              <w:rPr>
                <w:rFonts w:ascii="Times New Roman" w:eastAsia="Times New Roman" w:hAnsi="Times New Roman" w:cs="Times New Roman"/>
                <w:sz w:val="24"/>
                <w:szCs w:val="24"/>
              </w:rPr>
            </w:pPr>
            <w:r w:rsidRPr="001C5E73">
              <w:rPr>
                <w:rFonts w:ascii="Times New Roman" w:eastAsia="Times New Roman" w:hAnsi="Times New Roman" w:cs="Times New Roman"/>
                <w:sz w:val="24"/>
                <w:szCs w:val="24"/>
              </w:rPr>
              <w:t>3 boda</w:t>
            </w:r>
          </w:p>
        </w:tc>
      </w:tr>
      <w:tr w:rsidR="001C5E73" w:rsidRPr="001C5E73" w:rsidTr="001C5E73">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1C5E73" w:rsidRPr="001C5E73" w:rsidRDefault="001C5E73" w:rsidP="001C5E73">
            <w:pPr>
              <w:spacing w:after="0" w:line="240" w:lineRule="auto"/>
              <w:rPr>
                <w:rFonts w:ascii="Times New Roman" w:eastAsia="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5E73" w:rsidRPr="001C5E73" w:rsidRDefault="001C5E73" w:rsidP="001C5E73">
            <w:pPr>
              <w:spacing w:after="135" w:line="240" w:lineRule="auto"/>
              <w:rPr>
                <w:rFonts w:ascii="Times New Roman" w:eastAsia="Times New Roman" w:hAnsi="Times New Roman" w:cs="Times New Roman"/>
                <w:sz w:val="24"/>
                <w:szCs w:val="24"/>
              </w:rPr>
            </w:pPr>
            <w:r w:rsidRPr="001C5E73">
              <w:rPr>
                <w:rFonts w:ascii="Times New Roman" w:eastAsia="Times New Roman" w:hAnsi="Times New Roman" w:cs="Times New Roman"/>
                <w:sz w:val="24"/>
                <w:szCs w:val="24"/>
              </w:rPr>
              <w:t>Treće osvojeno mjesto kao član skupine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5E73" w:rsidRPr="001C5E73" w:rsidRDefault="001C5E73" w:rsidP="001C5E73">
            <w:pPr>
              <w:spacing w:after="135" w:line="240" w:lineRule="auto"/>
              <w:rPr>
                <w:rFonts w:ascii="Times New Roman" w:eastAsia="Times New Roman" w:hAnsi="Times New Roman" w:cs="Times New Roman"/>
                <w:sz w:val="24"/>
                <w:szCs w:val="24"/>
              </w:rPr>
            </w:pPr>
            <w:r w:rsidRPr="001C5E73">
              <w:rPr>
                <w:rFonts w:ascii="Times New Roman" w:eastAsia="Times New Roman" w:hAnsi="Times New Roman" w:cs="Times New Roman"/>
                <w:sz w:val="24"/>
                <w:szCs w:val="24"/>
              </w:rPr>
              <w:t>2 boda</w:t>
            </w:r>
          </w:p>
        </w:tc>
      </w:tr>
      <w:tr w:rsidR="001C5E73" w:rsidRPr="001C5E73" w:rsidTr="001C5E73">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1C5E73" w:rsidRPr="001C5E73" w:rsidRDefault="001C5E73" w:rsidP="001C5E73">
            <w:pPr>
              <w:spacing w:after="0" w:line="240" w:lineRule="auto"/>
              <w:rPr>
                <w:rFonts w:ascii="Times New Roman" w:eastAsia="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5E73" w:rsidRPr="001C5E73" w:rsidRDefault="001C5E73" w:rsidP="001C5E73">
            <w:pPr>
              <w:spacing w:after="135" w:line="240" w:lineRule="auto"/>
              <w:rPr>
                <w:rFonts w:ascii="Times New Roman" w:eastAsia="Times New Roman" w:hAnsi="Times New Roman" w:cs="Times New Roman"/>
                <w:sz w:val="24"/>
                <w:szCs w:val="24"/>
              </w:rPr>
            </w:pPr>
            <w:r w:rsidRPr="001C5E73">
              <w:rPr>
                <w:rFonts w:ascii="Times New Roman" w:eastAsia="Times New Roman" w:hAnsi="Times New Roman" w:cs="Times New Roman"/>
                <w:sz w:val="24"/>
                <w:szCs w:val="24"/>
              </w:rPr>
              <w:t>Sudjelovanje kao pojedinac ili član skupine u 5., 6., 7. ili 8. razredu</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5E73" w:rsidRPr="001C5E73" w:rsidRDefault="001C5E73" w:rsidP="001C5E73">
            <w:pPr>
              <w:spacing w:after="135" w:line="240" w:lineRule="auto"/>
              <w:rPr>
                <w:rFonts w:ascii="Times New Roman" w:eastAsia="Times New Roman" w:hAnsi="Times New Roman" w:cs="Times New Roman"/>
                <w:sz w:val="24"/>
                <w:szCs w:val="24"/>
              </w:rPr>
            </w:pPr>
            <w:r w:rsidRPr="001C5E73">
              <w:rPr>
                <w:rFonts w:ascii="Times New Roman" w:eastAsia="Times New Roman" w:hAnsi="Times New Roman" w:cs="Times New Roman"/>
                <w:sz w:val="24"/>
                <w:szCs w:val="24"/>
              </w:rPr>
              <w:t>1 bod</w:t>
            </w:r>
          </w:p>
        </w:tc>
      </w:tr>
    </w:tbl>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Vrednovanje rezultata kandidata postignutih na sportskim natjecanjima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17.</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Pravo na dodatne bodove kandidati ostvaruju na temelju službene evidencije o rezultatima održanih natjecanja školskih sportskih društava koju vodi Hrvatski školski športski savez (HŠŠS).</w:t>
      </w:r>
    </w:p>
    <w:tbl>
      <w:tblPr>
        <w:tblW w:w="0" w:type="auto"/>
        <w:tblCellMar>
          <w:left w:w="0" w:type="dxa"/>
          <w:right w:w="0" w:type="dxa"/>
        </w:tblCellMar>
        <w:tblLook w:val="04A0" w:firstRow="1" w:lastRow="0" w:firstColumn="1" w:lastColumn="0" w:noHBand="0" w:noVBand="1"/>
      </w:tblPr>
      <w:tblGrid>
        <w:gridCol w:w="3153"/>
        <w:gridCol w:w="6025"/>
        <w:gridCol w:w="778"/>
      </w:tblGrid>
      <w:tr w:rsidR="001C5E73" w:rsidRPr="001C5E73" w:rsidTr="001C5E73">
        <w:tc>
          <w:tcPr>
            <w:tcW w:w="0" w:type="auto"/>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5E73" w:rsidRPr="001C5E73" w:rsidRDefault="001C5E73" w:rsidP="001C5E73">
            <w:pPr>
              <w:spacing w:after="135" w:line="240" w:lineRule="auto"/>
              <w:rPr>
                <w:rFonts w:ascii="Times New Roman" w:eastAsia="Times New Roman" w:hAnsi="Times New Roman" w:cs="Times New Roman"/>
                <w:sz w:val="24"/>
                <w:szCs w:val="24"/>
              </w:rPr>
            </w:pPr>
            <w:r w:rsidRPr="001C5E73">
              <w:rPr>
                <w:rFonts w:ascii="Times New Roman" w:eastAsia="Times New Roman" w:hAnsi="Times New Roman" w:cs="Times New Roman"/>
                <w:sz w:val="24"/>
                <w:szCs w:val="24"/>
              </w:rPr>
              <w:t>Natjecanja školskih sportskih društava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5E73" w:rsidRPr="001C5E73" w:rsidRDefault="001C5E73" w:rsidP="001C5E73">
            <w:pPr>
              <w:spacing w:after="135" w:line="240" w:lineRule="auto"/>
              <w:rPr>
                <w:rFonts w:ascii="Times New Roman" w:eastAsia="Times New Roman" w:hAnsi="Times New Roman" w:cs="Times New Roman"/>
                <w:sz w:val="24"/>
                <w:szCs w:val="24"/>
              </w:rPr>
            </w:pPr>
            <w:r w:rsidRPr="001C5E73">
              <w:rPr>
                <w:rFonts w:ascii="Times New Roman" w:eastAsia="Times New Roman" w:hAnsi="Times New Roman" w:cs="Times New Roman"/>
                <w:sz w:val="24"/>
                <w:szCs w:val="24"/>
              </w:rPr>
              <w:t>Učenici koji su na državnom natjecanju kao članovi ekipe osvojili prvo mjesto</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5E73" w:rsidRPr="001C5E73" w:rsidRDefault="001C5E73" w:rsidP="001C5E73">
            <w:pPr>
              <w:spacing w:after="135" w:line="240" w:lineRule="auto"/>
              <w:rPr>
                <w:rFonts w:ascii="Times New Roman" w:eastAsia="Times New Roman" w:hAnsi="Times New Roman" w:cs="Times New Roman"/>
                <w:sz w:val="24"/>
                <w:szCs w:val="24"/>
              </w:rPr>
            </w:pPr>
            <w:r w:rsidRPr="001C5E73">
              <w:rPr>
                <w:rFonts w:ascii="Times New Roman" w:eastAsia="Times New Roman" w:hAnsi="Times New Roman" w:cs="Times New Roman"/>
                <w:sz w:val="24"/>
                <w:szCs w:val="24"/>
              </w:rPr>
              <w:t>3 boda</w:t>
            </w:r>
          </w:p>
        </w:tc>
      </w:tr>
      <w:tr w:rsidR="001C5E73" w:rsidRPr="001C5E73" w:rsidTr="001C5E73">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1C5E73" w:rsidRPr="001C5E73" w:rsidRDefault="001C5E73" w:rsidP="001C5E73">
            <w:pPr>
              <w:spacing w:after="0" w:line="240" w:lineRule="auto"/>
              <w:rPr>
                <w:rFonts w:ascii="Times New Roman" w:eastAsia="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5E73" w:rsidRPr="001C5E73" w:rsidRDefault="001C5E73" w:rsidP="001C5E73">
            <w:pPr>
              <w:spacing w:after="135" w:line="240" w:lineRule="auto"/>
              <w:rPr>
                <w:rFonts w:ascii="Times New Roman" w:eastAsia="Times New Roman" w:hAnsi="Times New Roman" w:cs="Times New Roman"/>
                <w:sz w:val="24"/>
                <w:szCs w:val="24"/>
              </w:rPr>
            </w:pPr>
            <w:r w:rsidRPr="001C5E73">
              <w:rPr>
                <w:rFonts w:ascii="Times New Roman" w:eastAsia="Times New Roman" w:hAnsi="Times New Roman" w:cs="Times New Roman"/>
                <w:sz w:val="24"/>
                <w:szCs w:val="24"/>
              </w:rPr>
              <w:t>Učenici koji su na državnom natjecanju kao članovi ekipe osvojili drugo mjesto</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5E73" w:rsidRPr="001C5E73" w:rsidRDefault="001C5E73" w:rsidP="001C5E73">
            <w:pPr>
              <w:spacing w:after="135" w:line="240" w:lineRule="auto"/>
              <w:rPr>
                <w:rFonts w:ascii="Times New Roman" w:eastAsia="Times New Roman" w:hAnsi="Times New Roman" w:cs="Times New Roman"/>
                <w:sz w:val="24"/>
                <w:szCs w:val="24"/>
              </w:rPr>
            </w:pPr>
            <w:r w:rsidRPr="001C5E73">
              <w:rPr>
                <w:rFonts w:ascii="Times New Roman" w:eastAsia="Times New Roman" w:hAnsi="Times New Roman" w:cs="Times New Roman"/>
                <w:sz w:val="24"/>
                <w:szCs w:val="24"/>
              </w:rPr>
              <w:t>2 boda</w:t>
            </w:r>
          </w:p>
        </w:tc>
      </w:tr>
      <w:tr w:rsidR="001C5E73" w:rsidRPr="001C5E73" w:rsidTr="001C5E73">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1C5E73" w:rsidRPr="001C5E73" w:rsidRDefault="001C5E73" w:rsidP="001C5E73">
            <w:pPr>
              <w:spacing w:after="0" w:line="240" w:lineRule="auto"/>
              <w:rPr>
                <w:rFonts w:ascii="Times New Roman" w:eastAsia="Times New Roman" w:hAnsi="Times New Roman" w:cs="Times New Roman"/>
                <w:sz w:val="24"/>
                <w:szCs w:val="24"/>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5E73" w:rsidRPr="001C5E73" w:rsidRDefault="001C5E73" w:rsidP="001C5E73">
            <w:pPr>
              <w:spacing w:after="135" w:line="240" w:lineRule="auto"/>
              <w:rPr>
                <w:rFonts w:ascii="Times New Roman" w:eastAsia="Times New Roman" w:hAnsi="Times New Roman" w:cs="Times New Roman"/>
                <w:sz w:val="24"/>
                <w:szCs w:val="24"/>
              </w:rPr>
            </w:pPr>
            <w:r w:rsidRPr="001C5E73">
              <w:rPr>
                <w:rFonts w:ascii="Times New Roman" w:eastAsia="Times New Roman" w:hAnsi="Times New Roman" w:cs="Times New Roman"/>
                <w:sz w:val="24"/>
                <w:szCs w:val="24"/>
              </w:rPr>
              <w:t>Učenici koji su na državnom natjecanju kao članovi ekipe osvojili treće mjesto</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1C5E73" w:rsidRPr="001C5E73" w:rsidRDefault="001C5E73" w:rsidP="001C5E73">
            <w:pPr>
              <w:spacing w:after="135" w:line="240" w:lineRule="auto"/>
              <w:rPr>
                <w:rFonts w:ascii="Times New Roman" w:eastAsia="Times New Roman" w:hAnsi="Times New Roman" w:cs="Times New Roman"/>
                <w:sz w:val="24"/>
                <w:szCs w:val="24"/>
              </w:rPr>
            </w:pPr>
            <w:r w:rsidRPr="001C5E73">
              <w:rPr>
                <w:rFonts w:ascii="Times New Roman" w:eastAsia="Times New Roman" w:hAnsi="Times New Roman" w:cs="Times New Roman"/>
                <w:sz w:val="24"/>
                <w:szCs w:val="24"/>
              </w:rPr>
              <w:t>1 bod</w:t>
            </w:r>
          </w:p>
        </w:tc>
      </w:tr>
    </w:tbl>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V. POSEBAN ELEMENT VREDNOVANJA KANDIDATA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18. (NN </w:t>
      </w:r>
      <w:hyperlink r:id="rId19" w:history="1">
        <w:r w:rsidRPr="001C5E73">
          <w:rPr>
            <w:rFonts w:ascii="Arial" w:eastAsia="Times New Roman" w:hAnsi="Arial" w:cs="Arial"/>
            <w:b/>
            <w:bCs/>
            <w:color w:val="497FD7"/>
            <w:sz w:val="21"/>
            <w:szCs w:val="21"/>
            <w:u w:val="single"/>
          </w:rPr>
          <w:t>39/22</w:t>
        </w:r>
      </w:hyperlink>
      <w:r w:rsidRPr="001C5E73">
        <w:rPr>
          <w:rFonts w:ascii="Arial" w:eastAsia="Times New Roman" w:hAnsi="Arial" w:cs="Arial"/>
          <w:color w:val="414145"/>
          <w:sz w:val="21"/>
          <w:szCs w:val="21"/>
        </w:rPr>
        <w: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Kandidat ostvaruje pravo na poseban element vrednovanja ako:</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ima zdravstvene teškoće;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živi u otežanim uvjetima obrazovanja uzrokovanim nepovoljnim ekonomskim, socijalnim te odgojnim čimbenicima.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Vrednovanje uspjeha kandidata sa zdravstvenim teškoćama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19. (NN </w:t>
      </w:r>
      <w:hyperlink r:id="rId20" w:history="1">
        <w:r w:rsidRPr="001C5E73">
          <w:rPr>
            <w:rFonts w:ascii="Arial" w:eastAsia="Times New Roman" w:hAnsi="Arial" w:cs="Arial"/>
            <w:b/>
            <w:bCs/>
            <w:color w:val="497FD7"/>
            <w:sz w:val="21"/>
            <w:szCs w:val="21"/>
            <w:u w:val="single"/>
          </w:rPr>
          <w:t>39/22</w:t>
        </w:r>
      </w:hyperlink>
      <w:r w:rsidRPr="001C5E73">
        <w:rPr>
          <w:rFonts w:ascii="Arial" w:eastAsia="Times New Roman" w:hAnsi="Arial" w:cs="Arial"/>
          <w:color w:val="414145"/>
          <w:sz w:val="21"/>
          <w:szCs w:val="21"/>
        </w:rPr>
        <w: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Kandidat sa zdravstvenim teškoćama je kandidat koji je osnovno obrazovanje završio po redovitome nastavnom planu i programu, a kojem su zdravstvene teškoće mogle utjecati na postizanje rezultata tijekom prethodnog razdoblja.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Brisan.</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(3) Za ostvarivanje prava na poseban element vrednovanja kandidat iz stavka 1. ovoga članka obvezno prilaže: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xml:space="preserve">– stručno mišljenje Službe za profesionalno usmjeravanje Hrvatskoga zavoda za zapošljavanje o sposobnostima i motivaciji učenika za, u pravilu šest,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zdravstvenim teškoćama koje su </w:t>
      </w:r>
      <w:r w:rsidRPr="001C5E73">
        <w:rPr>
          <w:rFonts w:ascii="Arial" w:eastAsia="Times New Roman" w:hAnsi="Arial" w:cs="Arial"/>
          <w:color w:val="414145"/>
          <w:sz w:val="21"/>
          <w:szCs w:val="21"/>
        </w:rPr>
        <w:lastRenderedPageBreak/>
        <w:t>mogle utjecati na postizanje rezultata tijekom prethodnog obrazovanja, prema stručno usuglašenoj metodologiji te obrade multidisciplinarnog tima Hrvatskoga zavoda za zapošljavanje.</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Vrednovanje uspjeha kandidata koji žive u otežanim uvjetima obrazovanja uzrokovanim nepovoljnim ekonomskim, socijalnim te odgojnim čimbenicima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20. (NN </w:t>
      </w:r>
      <w:hyperlink r:id="rId21" w:history="1">
        <w:r w:rsidRPr="001C5E73">
          <w:rPr>
            <w:rFonts w:ascii="Arial" w:eastAsia="Times New Roman" w:hAnsi="Arial" w:cs="Arial"/>
            <w:b/>
            <w:bCs/>
            <w:color w:val="497FD7"/>
            <w:sz w:val="21"/>
            <w:szCs w:val="21"/>
            <w:u w:val="single"/>
          </w:rPr>
          <w:t>39/22</w:t>
        </w:r>
      </w:hyperlink>
      <w:r w:rsidRPr="001C5E73">
        <w:rPr>
          <w:rFonts w:ascii="Arial" w:eastAsia="Times New Roman" w:hAnsi="Arial" w:cs="Arial"/>
          <w:color w:val="414145"/>
          <w:sz w:val="21"/>
          <w:szCs w:val="21"/>
        </w:rPr>
        <w: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Brisan.</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Kandidat živi u otežanim uvjetima obrazovanja uzrokovanim ekonomskim, socijalnim te odgojnim čimbenicima, a koji su mogli utjecati na njegov školski uspjeh u osnovnoj školi ako:</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živi uz jednoga i/ili oba roditelja/skrbnika s dugotrajnom teškom bolesti;</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živi uz oba roditelja/skrbnika koji se prema zakonu koji regulira poticanje zapošljavanja smatraju dugotrajno nezaposlenim osobama;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živi uz samohranoga roditelja/skrbnika (roditelj/skrbnik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mu je jedan roditelj/</w:t>
      </w:r>
      <w:proofErr w:type="gramStart"/>
      <w:r w:rsidRPr="001C5E73">
        <w:rPr>
          <w:rFonts w:ascii="Arial" w:eastAsia="Times New Roman" w:hAnsi="Arial" w:cs="Arial"/>
          <w:color w:val="414145"/>
          <w:sz w:val="21"/>
          <w:szCs w:val="21"/>
        </w:rPr>
        <w:t>skrbnikpreminuo..</w:t>
      </w:r>
      <w:proofErr w:type="gramEnd"/>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(3) Za ostvarenje prava iz stavka 2. ovoga članka kandidat prilaže: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liječničku potvrdu o dugotrajnoj težoj bolesti jednoga i/ili oba roditelja/skrbnika;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potvrdu nadležnoga područnoga ureda Hrvatskoga zavoda za zapošljavanje o dugotrajnoj nezaposlenosti oba roditelja/skrbnika;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potvrdu o korištenju socijalne pomoći; rješenje ili drugi upravni akt centra za socijalnu skrb ili nadležnoga tijela u jedinici lokalne ili područne (regionalne) jedinice i Grada Zagreba o pravu samohranoga roditelja/skrbnika u statusu socijalne skrbi izdanih od ovlaštenih službi u zdravstvu, socijalnoj skrbi i za zapošljavanje;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ispravu iz matice umrlih ili smrtni list koje je izdalo nadležno tijelo u jedinici lokalne ili područne (regionalne) jedinice ili Grada Zagreba.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V.a VREDNOVANJE KANDIDATA PRIPADNIKA ROMSKE NACIONALNE MANJINE I KANDIDATA BEZ RODITELJSKE SKRBI«</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21. (NN </w:t>
      </w:r>
      <w:hyperlink r:id="rId22" w:history="1">
        <w:r w:rsidRPr="001C5E73">
          <w:rPr>
            <w:rFonts w:ascii="Arial" w:eastAsia="Times New Roman" w:hAnsi="Arial" w:cs="Arial"/>
            <w:b/>
            <w:bCs/>
            <w:color w:val="497FD7"/>
            <w:sz w:val="21"/>
            <w:szCs w:val="21"/>
            <w:u w:val="single"/>
          </w:rPr>
          <w:t>39/22</w:t>
        </w:r>
      </w:hyperlink>
      <w:r w:rsidRPr="001C5E73">
        <w:rPr>
          <w:rFonts w:ascii="Arial" w:eastAsia="Times New Roman" w:hAnsi="Arial" w:cs="Arial"/>
          <w:color w:val="414145"/>
          <w:sz w:val="21"/>
          <w:szCs w:val="21"/>
        </w:rPr>
        <w: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Kandidatu koji je pripadnik romske nacionalne manjine, a upisuje se na temelju Nacionalnog plana za uključivanje Roma za razdoblje od 2021. do 2027. godine dodaju se dva boda na broj bodova koji je utvrđen tijekom postupka vrednovanja.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Kandidatu koji je dijete bez roditelja/skrbnika ili odgovarajuće roditeljske skrbi prema zakonu koji uređuje socijalnu skrb dodaje se jedan bod na broj bodova koji je utvrđen tijekom postupka vrednovanja.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(3) Za ostvarivanje dodatnih bodova iz stavka 1. ovoga članka kandidat prilaže potvrdu o pripadnosti romskoj nacionalnoj manjini (rodni list učenika ili rodni list jednog od roditelja/skrbnika ili izvadak iz popisa birača za roditelja/skrbnika)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(4) Za ostvarivanje dodatnih bodova iz stavka 2. ovoga članka kandidat prilaže potvrdu nadležnog centra za socijalnu skrb da je kandidat dijete bez roditelja/skrbnika ili odgovarajuće roditeljske skrbi.</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(5) Neovisno o tomu ispunjava li uvjete za ostvarivanje više prava, kandidatu će se priznati ostvarivanje isključivo jednoga prava od prava propisanih stavcima 1. i 2. ovoga članka, koje je za njega najpovoljnije.</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22. (NN </w:t>
      </w:r>
      <w:hyperlink r:id="rId23" w:history="1">
        <w:r w:rsidRPr="001C5E73">
          <w:rPr>
            <w:rFonts w:ascii="Arial" w:eastAsia="Times New Roman" w:hAnsi="Arial" w:cs="Arial"/>
            <w:b/>
            <w:bCs/>
            <w:color w:val="497FD7"/>
            <w:sz w:val="21"/>
            <w:szCs w:val="21"/>
            <w:u w:val="single"/>
          </w:rPr>
          <w:t>109/16</w:t>
        </w:r>
      </w:hyperlink>
      <w:r w:rsidRPr="001C5E73">
        <w:rPr>
          <w:rFonts w:ascii="Arial" w:eastAsia="Times New Roman" w:hAnsi="Arial" w:cs="Arial"/>
          <w:color w:val="414145"/>
          <w:sz w:val="21"/>
          <w:szCs w:val="21"/>
        </w:rPr>
        <w:t>, </w:t>
      </w:r>
      <w:hyperlink r:id="rId24" w:history="1">
        <w:r w:rsidRPr="001C5E73">
          <w:rPr>
            <w:rFonts w:ascii="Arial" w:eastAsia="Times New Roman" w:hAnsi="Arial" w:cs="Arial"/>
            <w:b/>
            <w:bCs/>
            <w:color w:val="497FD7"/>
            <w:sz w:val="21"/>
            <w:szCs w:val="21"/>
            <w:u w:val="single"/>
          </w:rPr>
          <w:t>47/17</w:t>
        </w:r>
      </w:hyperlink>
      <w:r w:rsidRPr="001C5E73">
        <w:rPr>
          <w:rFonts w:ascii="Arial" w:eastAsia="Times New Roman" w:hAnsi="Arial" w:cs="Arial"/>
          <w:color w:val="414145"/>
          <w:sz w:val="21"/>
          <w:szCs w:val="21"/>
        </w:rPr>
        <w: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lastRenderedPageBreak/>
        <w:t>Brisan.</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VI. VREDNOVANJE USPJEHA KANDIDATA S TEŠKOĆAMA U RAZVOJU ODNOSNO TEŽIM ZDRAVSTVENIM TEŠKOĆAMA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23. (NN </w:t>
      </w:r>
      <w:hyperlink r:id="rId25" w:history="1">
        <w:r w:rsidRPr="001C5E73">
          <w:rPr>
            <w:rFonts w:ascii="Arial" w:eastAsia="Times New Roman" w:hAnsi="Arial" w:cs="Arial"/>
            <w:b/>
            <w:bCs/>
            <w:color w:val="497FD7"/>
            <w:sz w:val="21"/>
            <w:szCs w:val="21"/>
            <w:u w:val="single"/>
          </w:rPr>
          <w:t>39/22</w:t>
        </w:r>
      </w:hyperlink>
      <w:r w:rsidRPr="001C5E73">
        <w:rPr>
          <w:rFonts w:ascii="Arial" w:eastAsia="Times New Roman" w:hAnsi="Arial" w:cs="Arial"/>
          <w:color w:val="414145"/>
          <w:sz w:val="21"/>
          <w:szCs w:val="21"/>
        </w:rPr>
        <w: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(3) Kandidati iz stavka 1. ovoga članka mora zadovoljiti na ispitu sposobnosti i darovitosti u školama u kojima je to uvjet za upis.</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(5) Za ostvarenje prava iz stavka 2. ovoga članka kandidat obvezno prilaže: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rješenje Ureda o primjerenom programu obrazovanja;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stručno mišljenje Službe za profesionalno usmjeravanje Hrvatskoga zavoda za zapošljavanje o sposobnostima i motivaciji učenika za, u pravilu šest, a najmanje tri srednjoškolska programa obrazovanja sukladno određenom primjerenom programu obrazovanja u rješenju izdanoga na temelju stručnog mišljenja nadležnoga školskog liječnika koji je pratio kandidata tijekom prethodnog obrazovanja, a na temelju prethodno dostavljene specijalističke medicinske dokumentacije o težim zdravstvenim teškoćama koje su utjecale na postizanje rezultata tijekom prethodnog obrazovanja i/ili mu značajno sužavaju mogući izbor programa obrazovanja i zanimanja, prema stručno usuglašenoj metodologiji te obrade multidisciplinarnog tima Hrvatskoga zavoda za zapošljavanje.</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VII. ZDRAVSTVENA SPOSOBNOST KANDIDATA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24. (NN </w:t>
      </w:r>
      <w:hyperlink r:id="rId26" w:history="1">
        <w:r w:rsidRPr="001C5E73">
          <w:rPr>
            <w:rFonts w:ascii="Arial" w:eastAsia="Times New Roman" w:hAnsi="Arial" w:cs="Arial"/>
            <w:b/>
            <w:bCs/>
            <w:color w:val="497FD7"/>
            <w:sz w:val="21"/>
            <w:szCs w:val="21"/>
            <w:u w:val="single"/>
          </w:rPr>
          <w:t>47/17</w:t>
        </w:r>
      </w:hyperlink>
      <w:r w:rsidRPr="001C5E73">
        <w:rPr>
          <w:rFonts w:ascii="Arial" w:eastAsia="Times New Roman" w:hAnsi="Arial" w:cs="Arial"/>
          <w:color w:val="414145"/>
          <w:sz w:val="21"/>
          <w:szCs w:val="21"/>
        </w:rPr>
        <w:t>, </w:t>
      </w:r>
      <w:hyperlink r:id="rId27" w:history="1">
        <w:r w:rsidRPr="001C5E73">
          <w:rPr>
            <w:rFonts w:ascii="Arial" w:eastAsia="Times New Roman" w:hAnsi="Arial" w:cs="Arial"/>
            <w:b/>
            <w:bCs/>
            <w:color w:val="497FD7"/>
            <w:sz w:val="21"/>
            <w:szCs w:val="21"/>
            <w:u w:val="single"/>
          </w:rPr>
          <w:t>39/22</w:t>
        </w:r>
      </w:hyperlink>
      <w:r w:rsidRPr="001C5E73">
        <w:rPr>
          <w:rFonts w:ascii="Arial" w:eastAsia="Times New Roman" w:hAnsi="Arial" w:cs="Arial"/>
          <w:color w:val="414145"/>
          <w:sz w:val="21"/>
          <w:szCs w:val="21"/>
        </w:rPr>
        <w: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Ovisno o tome što je propisano za određeni program obrazovanja, kandidat koji se upisuje u programe za koje je posebnim propisima i mjerilima određeno obvezno utvrđivanje zdravstvene sposobnosti, pri upisu u program obvezno dostavlja potvrdu nadležnoga školskog liječnika o zdravstvenoj sposobnosti kandidata za propisani program ili liječničku svjedodžbu medicine rada.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Iznimno, kandidat koji u trenutku upisa nije u mogućnosti dostaviti liječničku svjedodžbu medicine rada, pri upisu dostavlja potvrdu obiteljskog liječnika, a liječničku svjedodžbu medicine rada dostavlja školi najkasnije do 30. rujna tekuće školske godine.</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VIII. POSEBNA MJERILA I POSTUPCI ZA UPIS KANDIDATA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25. (NN </w:t>
      </w:r>
      <w:hyperlink r:id="rId28" w:history="1">
        <w:r w:rsidRPr="001C5E73">
          <w:rPr>
            <w:rFonts w:ascii="Arial" w:eastAsia="Times New Roman" w:hAnsi="Arial" w:cs="Arial"/>
            <w:b/>
            <w:bCs/>
            <w:color w:val="497FD7"/>
            <w:sz w:val="21"/>
            <w:szCs w:val="21"/>
            <w:u w:val="single"/>
          </w:rPr>
          <w:t>47/17</w:t>
        </w:r>
      </w:hyperlink>
      <w:r w:rsidRPr="001C5E73">
        <w:rPr>
          <w:rFonts w:ascii="Arial" w:eastAsia="Times New Roman" w:hAnsi="Arial" w:cs="Arial"/>
          <w:color w:val="414145"/>
          <w:sz w:val="21"/>
          <w:szCs w:val="21"/>
        </w:rPr>
        <w: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Brisan.</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Vrednovanje uspjeha kandidata za upis u programe obrazovanja za vezane obrte</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26. (NN </w:t>
      </w:r>
      <w:hyperlink r:id="rId29" w:history="1">
        <w:r w:rsidRPr="001C5E73">
          <w:rPr>
            <w:rFonts w:ascii="Arial" w:eastAsia="Times New Roman" w:hAnsi="Arial" w:cs="Arial"/>
            <w:b/>
            <w:bCs/>
            <w:color w:val="497FD7"/>
            <w:sz w:val="21"/>
            <w:szCs w:val="21"/>
            <w:u w:val="single"/>
          </w:rPr>
          <w:t>47/17</w:t>
        </w:r>
      </w:hyperlink>
      <w:r w:rsidRPr="001C5E73">
        <w:rPr>
          <w:rFonts w:ascii="Arial" w:eastAsia="Times New Roman" w:hAnsi="Arial" w:cs="Arial"/>
          <w:color w:val="414145"/>
          <w:sz w:val="21"/>
          <w:szCs w:val="21"/>
        </w:rPr>
        <w:t>, </w:t>
      </w:r>
      <w:hyperlink r:id="rId30" w:history="1">
        <w:r w:rsidRPr="001C5E73">
          <w:rPr>
            <w:rFonts w:ascii="Arial" w:eastAsia="Times New Roman" w:hAnsi="Arial" w:cs="Arial"/>
            <w:b/>
            <w:bCs/>
            <w:color w:val="497FD7"/>
            <w:sz w:val="21"/>
            <w:szCs w:val="21"/>
            <w:u w:val="single"/>
          </w:rPr>
          <w:t>39/22</w:t>
        </w:r>
      </w:hyperlink>
      <w:r w:rsidRPr="001C5E73">
        <w:rPr>
          <w:rFonts w:ascii="Arial" w:eastAsia="Times New Roman" w:hAnsi="Arial" w:cs="Arial"/>
          <w:color w:val="414145"/>
          <w:sz w:val="21"/>
          <w:szCs w:val="21"/>
        </w:rPr>
        <w: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Kandidat koji upisuje program obrazovanja za vezane obrte dužan je, pri upisu ili najkasnije do 30. rujna tekuće školske godine, dostaviti školi liječničku svjedodžbu medicine rada i sklopljen ugovor o naukovanju.</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lastRenderedPageBreak/>
        <w:t>(2) 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putem aplikacije e-</w:t>
      </w:r>
      <w:proofErr w:type="gramStart"/>
      <w:r w:rsidRPr="001C5E73">
        <w:rPr>
          <w:rFonts w:ascii="Arial" w:eastAsia="Times New Roman" w:hAnsi="Arial" w:cs="Arial"/>
          <w:color w:val="414145"/>
          <w:sz w:val="21"/>
          <w:szCs w:val="21"/>
        </w:rPr>
        <w:t>Naukovanje .</w:t>
      </w:r>
      <w:proofErr w:type="gramEnd"/>
      <w:r w:rsidRPr="001C5E73">
        <w:rPr>
          <w:rFonts w:ascii="Arial" w:eastAsia="Times New Roman" w:hAnsi="Arial" w:cs="Arial"/>
          <w:color w:val="414145"/>
          <w:sz w:val="21"/>
          <w:szCs w:val="21"/>
        </w:rPr>
        <w:t xml:space="preserve"> Obveza je škole da popise slobodnih mjesta za praktičnu nastavu i vježbe naukovanja istakne na oglasnoj ploči i mrežnoj stranici škole.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(3) Ugovor o naukovanju sklapaju obrtnik ili pravna osoba koji imaju dozvolu (licenciju) za izvođenje naukovanja i kandidat (roditelj ili skrbnik kandidata), u skladu sa zakonom koji uređuje obavljanje obrta, a prilikom sklapanja ugovora kandidat donosi na uvid:</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ovjerenu presliku svjedodžbe završnoga razreda osnovnog obrazovanja;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liječničku svjedodžbu medicine rada.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(4) Ugovor o naukovanju sklapa se u četiri istovjetna primjerka od kojih po jedan pripada svakoj ugovornoj strani, nadležnoj ustanovi za strukovno obrazovanje te nadležnoj područnoj obrtničkoj komori.</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(5) Evidenciju i verifikaciju ugovora o naukovanju vodi Hrvatska obrtnička komora.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(6) Licencirani obrtnik ili pravna osoba može sklopiti onoliki broj ugovora koliko ima slobodnih mjesta za izvođenje praktične nastave i vježbi naukovanja sukladno dozvoli (licenciji) koju posjeduje.</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(7) 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IX. PROVEDBA DODATNIH PROVJERA SKLONOSTI I SPOSOBNOSTI KANDIDATA</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27.</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Škola koja upisuje kandidata u programe obrazovanja za koje je potrebna određena tjelesna, glasovna i slična spretnost ili sposobnost mogu provoditi provjeru sklonosti i sposobnosti kandidata za taj program obrazovanja.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Na temelju provjera iz stavka 1. ovoga članka kandidat može ostvariti ocjenu »položio« ili »nije položio«.</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X. MINIMALNI BODOVNI PRAG</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28. (NN </w:t>
      </w:r>
      <w:hyperlink r:id="rId31" w:history="1">
        <w:r w:rsidRPr="001C5E73">
          <w:rPr>
            <w:rFonts w:ascii="Arial" w:eastAsia="Times New Roman" w:hAnsi="Arial" w:cs="Arial"/>
            <w:b/>
            <w:bCs/>
            <w:color w:val="497FD7"/>
            <w:sz w:val="21"/>
            <w:szCs w:val="21"/>
            <w:u w:val="single"/>
          </w:rPr>
          <w:t>39/22</w:t>
        </w:r>
      </w:hyperlink>
      <w:r w:rsidRPr="001C5E73">
        <w:rPr>
          <w:rFonts w:ascii="Arial" w:eastAsia="Times New Roman" w:hAnsi="Arial" w:cs="Arial"/>
          <w:color w:val="414145"/>
          <w:sz w:val="21"/>
          <w:szCs w:val="21"/>
        </w:rPr>
        <w: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(1) Za programe obrazovanja u trajanju od najmanje četiri godine, škola može utvrditi minimalni broj bodova potrebnih za prijavu kandidata za upis u pojedini program obrazovanja, a koji se odnosi isključivo na zajednički element vrednovanja.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(2) Utvrđeni minimalni broj bodova iz stavka 1. ovoga članka primjenjuje se tijekom cijeloga upisnog postupka za sve kandidate, osim za kandidate iz članka 16. ovoga Pravilnika koji imaju pravo izravnog upisa.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(3) 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29. (NN </w:t>
      </w:r>
      <w:hyperlink r:id="rId32" w:history="1">
        <w:r w:rsidRPr="001C5E73">
          <w:rPr>
            <w:rFonts w:ascii="Arial" w:eastAsia="Times New Roman" w:hAnsi="Arial" w:cs="Arial"/>
            <w:b/>
            <w:bCs/>
            <w:color w:val="497FD7"/>
            <w:sz w:val="21"/>
            <w:szCs w:val="21"/>
            <w:u w:val="single"/>
          </w:rPr>
          <w:t>39/22</w:t>
        </w:r>
      </w:hyperlink>
      <w:r w:rsidRPr="001C5E73">
        <w:rPr>
          <w:rFonts w:ascii="Arial" w:eastAsia="Times New Roman" w:hAnsi="Arial" w:cs="Arial"/>
          <w:color w:val="414145"/>
          <w:sz w:val="21"/>
          <w:szCs w:val="21"/>
        </w:rPr>
        <w:t>)</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Brisan.</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XII. PRIJELAZNE I ZAVRŠNE ODREDBE</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30.</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xml:space="preserve">Ovaj pravilnik stupa na snagu osmoga dana od dana objave u »Narodnim novinama«, osim odredbe članka 9. ovoga pravilnika koja stupa na snagu u trenutku započinjanja postupaka za upis u školsku godinu </w:t>
      </w:r>
      <w:proofErr w:type="gramStart"/>
      <w:r w:rsidRPr="001C5E73">
        <w:rPr>
          <w:rFonts w:ascii="Arial" w:eastAsia="Times New Roman" w:hAnsi="Arial" w:cs="Arial"/>
          <w:color w:val="414145"/>
          <w:sz w:val="21"/>
          <w:szCs w:val="21"/>
        </w:rPr>
        <w:t>2016./</w:t>
      </w:r>
      <w:proofErr w:type="gramEnd"/>
      <w:r w:rsidRPr="001C5E73">
        <w:rPr>
          <w:rFonts w:ascii="Arial" w:eastAsia="Times New Roman" w:hAnsi="Arial" w:cs="Arial"/>
          <w:color w:val="414145"/>
          <w:sz w:val="21"/>
          <w:szCs w:val="21"/>
        </w:rPr>
        <w:t>2017.</w:t>
      </w:r>
    </w:p>
    <w:p w:rsidR="001C5E73" w:rsidRPr="001C5E73" w:rsidRDefault="001C5E73" w:rsidP="001C5E73">
      <w:pPr>
        <w:spacing w:before="150" w:after="150" w:line="336" w:lineRule="atLeast"/>
        <w:jc w:val="center"/>
        <w:outlineLvl w:val="4"/>
        <w:rPr>
          <w:rFonts w:ascii="Arial" w:eastAsia="Times New Roman" w:hAnsi="Arial" w:cs="Arial"/>
          <w:b/>
          <w:bCs/>
          <w:color w:val="414145"/>
          <w:sz w:val="20"/>
          <w:szCs w:val="20"/>
        </w:rPr>
      </w:pPr>
      <w:r w:rsidRPr="001C5E73">
        <w:rPr>
          <w:rFonts w:ascii="Arial" w:eastAsia="Times New Roman" w:hAnsi="Arial" w:cs="Arial"/>
          <w:b/>
          <w:bCs/>
          <w:color w:val="414145"/>
          <w:sz w:val="20"/>
          <w:szCs w:val="20"/>
        </w:rPr>
        <w:lastRenderedPageBreak/>
        <w:t>Prijelazne i završne odredbe iz NN 47/17</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5.</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Ovaj pravilnik stupa na snagu osmoga dana od dana objave u »Narodnim novinama«.</w:t>
      </w:r>
    </w:p>
    <w:p w:rsidR="001C5E73" w:rsidRPr="001C5E73" w:rsidRDefault="001C5E73" w:rsidP="001C5E73">
      <w:pPr>
        <w:spacing w:before="150" w:after="150" w:line="336" w:lineRule="atLeast"/>
        <w:jc w:val="center"/>
        <w:outlineLvl w:val="4"/>
        <w:rPr>
          <w:rFonts w:ascii="Arial" w:eastAsia="Times New Roman" w:hAnsi="Arial" w:cs="Arial"/>
          <w:b/>
          <w:bCs/>
          <w:color w:val="414145"/>
          <w:sz w:val="20"/>
          <w:szCs w:val="20"/>
        </w:rPr>
      </w:pPr>
      <w:r w:rsidRPr="001C5E73">
        <w:rPr>
          <w:rFonts w:ascii="Arial" w:eastAsia="Times New Roman" w:hAnsi="Arial" w:cs="Arial"/>
          <w:b/>
          <w:bCs/>
          <w:color w:val="414145"/>
          <w:sz w:val="20"/>
          <w:szCs w:val="20"/>
        </w:rPr>
        <w:t>Prijelazne i završne odredbe iz NN 39/22</w:t>
      </w:r>
    </w:p>
    <w:p w:rsidR="001C5E73" w:rsidRPr="001C5E73" w:rsidRDefault="001C5E73" w:rsidP="001C5E73">
      <w:pPr>
        <w:spacing w:after="0"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23.</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xml:space="preserve">Iznimno od članka 9. stavka 4. ovoga Pravilnika, u tekućoj školskoj godini </w:t>
      </w:r>
      <w:proofErr w:type="gramStart"/>
      <w:r w:rsidRPr="001C5E73">
        <w:rPr>
          <w:rFonts w:ascii="Arial" w:eastAsia="Times New Roman" w:hAnsi="Arial" w:cs="Arial"/>
          <w:color w:val="414145"/>
          <w:sz w:val="21"/>
          <w:szCs w:val="21"/>
        </w:rPr>
        <w:t>2021./</w:t>
      </w:r>
      <w:proofErr w:type="gramEnd"/>
      <w:r w:rsidRPr="001C5E73">
        <w:rPr>
          <w:rFonts w:ascii="Arial" w:eastAsia="Times New Roman" w:hAnsi="Arial" w:cs="Arial"/>
          <w:color w:val="414145"/>
          <w:sz w:val="21"/>
          <w:szCs w:val="21"/>
        </w:rPr>
        <w:t xml:space="preserve">2022. zahtjev za suglasnost za provedbu provjere posebnih znanja za upis u školsku godinu </w:t>
      </w:r>
      <w:proofErr w:type="gramStart"/>
      <w:r w:rsidRPr="001C5E73">
        <w:rPr>
          <w:rFonts w:ascii="Arial" w:eastAsia="Times New Roman" w:hAnsi="Arial" w:cs="Arial"/>
          <w:color w:val="414145"/>
          <w:sz w:val="21"/>
          <w:szCs w:val="21"/>
        </w:rPr>
        <w:t>2022./</w:t>
      </w:r>
      <w:proofErr w:type="gramEnd"/>
      <w:r w:rsidRPr="001C5E73">
        <w:rPr>
          <w:rFonts w:ascii="Arial" w:eastAsia="Times New Roman" w:hAnsi="Arial" w:cs="Arial"/>
          <w:color w:val="414145"/>
          <w:sz w:val="21"/>
          <w:szCs w:val="21"/>
        </w:rPr>
        <w:t>2023. srednje škole mogu dostaviti Ministarstvu najkasnije do 15. travnja 2022. godine.</w:t>
      </w:r>
    </w:p>
    <w:p w:rsidR="001C5E73" w:rsidRPr="001C5E73" w:rsidRDefault="001C5E73" w:rsidP="001C5E73">
      <w:pPr>
        <w:spacing w:after="0"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Članak 24.</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Ovaj Pravilnik stupa na snagu osmoga dana od dana objave u »Narodnim novinama«.</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POPIS PREDMETA POSEBNO VAŽNIH ZA UPIS </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 </w:t>
      </w:r>
    </w:p>
    <w:p w:rsidR="001C5E73" w:rsidRPr="001C5E73" w:rsidRDefault="001C5E73" w:rsidP="001C5E73">
      <w:pPr>
        <w:spacing w:after="135" w:line="240" w:lineRule="auto"/>
        <w:jc w:val="center"/>
        <w:rPr>
          <w:rFonts w:ascii="Arial" w:eastAsia="Times New Roman" w:hAnsi="Arial" w:cs="Arial"/>
          <w:color w:val="414145"/>
          <w:sz w:val="21"/>
          <w:szCs w:val="21"/>
        </w:rPr>
      </w:pPr>
      <w:r w:rsidRPr="001C5E73">
        <w:rPr>
          <w:rFonts w:ascii="Arial" w:eastAsia="Times New Roman" w:hAnsi="Arial" w:cs="Arial"/>
          <w:color w:val="414145"/>
          <w:sz w:val="21"/>
          <w:szCs w:val="21"/>
        </w:rPr>
        <w:t> </w:t>
      </w:r>
    </w:p>
    <w:tbl>
      <w:tblPr>
        <w:tblW w:w="10660" w:type="dxa"/>
        <w:tblCellMar>
          <w:top w:w="15" w:type="dxa"/>
          <w:left w:w="15" w:type="dxa"/>
          <w:bottom w:w="15" w:type="dxa"/>
          <w:right w:w="15" w:type="dxa"/>
        </w:tblCellMar>
        <w:tblLook w:val="04A0" w:firstRow="1" w:lastRow="0" w:firstColumn="1" w:lastColumn="0" w:noHBand="0" w:noVBand="1"/>
      </w:tblPr>
      <w:tblGrid>
        <w:gridCol w:w="2754"/>
        <w:gridCol w:w="3589"/>
        <w:gridCol w:w="1122"/>
        <w:gridCol w:w="1372"/>
        <w:gridCol w:w="1823"/>
      </w:tblGrid>
      <w:tr w:rsidR="001C5E73" w:rsidRPr="001C5E73" w:rsidTr="001C5E73">
        <w:tc>
          <w:tcPr>
            <w:tcW w:w="2498"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Obrazovni sektor</w:t>
            </w:r>
          </w:p>
        </w:tc>
        <w:tc>
          <w:tcPr>
            <w:tcW w:w="3722"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Strukovno područje/Program</w:t>
            </w:r>
          </w:p>
        </w:tc>
        <w:tc>
          <w:tcPr>
            <w:tcW w:w="962"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Trajanje u godinama</w:t>
            </w:r>
          </w:p>
        </w:tc>
        <w:tc>
          <w:tcPr>
            <w:tcW w:w="1542"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Predmet 1</w:t>
            </w:r>
          </w:p>
        </w:tc>
        <w:tc>
          <w:tcPr>
            <w:tcW w:w="1467"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Predmet 2</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Ekonomija, trgovina i poslovna administracija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Geografija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Elektrotehnika i računalstvo</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Tehnička kultura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Geologija, rudarstvo, nafta i kemijska tehnologija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Ekološki tehničar</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Geološki tehničar</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Kemijski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Kemija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Geologija, rudarstvo, nafta i kemijska tehnologija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Naftno-rudarski tehničar</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Rudarski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Kemija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Graditeljstvo i geodezija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Tehnička kultura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Grafička tehnologija i audio-vizualno oblikovanje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Likovna kultura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Klasična gimnazija</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Opća gimnazija</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lastRenderedPageBreak/>
              <w:t>Jezična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lastRenderedPageBreak/>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Geografija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Klasična gimnazija – učenici koji nastavljaju učenje klasičnih jezika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Latinski jezik</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Povijest</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Prirodoslovna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Kemija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Prirodoslovno-matematička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Fizika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Umjetnička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Likovna kultura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Osobne, usluge zaštite i druge usluge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Tehničar za očnu optiku</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Tehničar zaštite osoba i imovine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Tehnička kultura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Osobne, usluge zaštite i druge usluge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Kozmetičar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Kemija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Poljoprivreda, prehrana i veterina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Agroturistički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Geografija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Poljoprivreda, prehrana i veterina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Poljoprivredni tehničar – fitofarmaceut</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Agrotehničar</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Mljekarski tehničar</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Prehrambeni tehničar</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Tehničar nutricionist</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Veterinarski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Kemija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Poljoprivreda, prehrana i veterina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Poljoprivredni tehničar – vrtlar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Tehnička kultura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Ribarsko-nautički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Geografija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Tehničar cestovnog prometa</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Tehničar za logistiku i špediciju</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Tehničar za poštanske i financijske usluge</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Tehničar vuče – strojovođa</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Tehničar za željeznički promet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Tehnička kultura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lastRenderedPageBreak/>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Nautičar unutarnje plovidbe</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Pomorski nautičar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Geografija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Tehničar unutarnjeg transporta</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Tehničar za jahte i marine</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Zrakoplovni prometnik</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Geografija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Tehnička kultura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Strojarstvo, brodogradnja i metalurgija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Kemija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Drvodjeljski tehničar – restaurator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Likovna kultura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Drvodjeljski tehničar dizajner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Likovna kultura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Meteorološki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Fizika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Tehničar zaštite prirode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Kemija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Tekstil i koža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Tehnička kultura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Turizam i ugostiteljstvo</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Geografija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Dizajner tekstila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Likovna kultura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Umjetnost – glazbena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Glazbenik – instrument</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Glazbenik – teorijski smjer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Likovna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Glazbena kultura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Umjetnost – glazbena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Graditelj i restaurator glazbala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Glazbena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Tehnička kultura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Umjetnost – glazbena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Glazbenik saksofonist popularne i jazz glazbe</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Glazbenik bubnjar i udaraljkaš popularne i jazz glazbe</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Glazbenik gitarist popularne i jazz glazbe</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Glazbenik bas gitarist popularne i jazz glazbe</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lastRenderedPageBreak/>
              <w:t>Glazbenik kontrabasist popularne i jazz glazbe</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Glazbenik pjevač popularne i jazz glazbe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lastRenderedPageBreak/>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Likovna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Glazbena kultura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Umjetnost – likovna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Likovna umjetnost i dizajn</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Likovna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Tehnička kultura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Umjetnost – plesna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Plesač klasičnog baleta</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Plesač narodnih plesova</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Plesač suvremenog plesa</w:t>
            </w:r>
          </w:p>
          <w:p w:rsidR="001C5E73" w:rsidRPr="001C5E73" w:rsidRDefault="001C5E73" w:rsidP="001C5E73">
            <w:pPr>
              <w:spacing w:after="135" w:line="240" w:lineRule="auto"/>
              <w:rPr>
                <w:rFonts w:ascii="Minion Pro" w:eastAsia="Times New Roman" w:hAnsi="Minion Pro" w:cs="Times New Roman"/>
              </w:rPr>
            </w:pPr>
            <w:r w:rsidRPr="001C5E73">
              <w:rPr>
                <w:rFonts w:ascii="Minion Pro" w:eastAsia="Times New Roman" w:hAnsi="Minion Pro" w:cs="Times New Roman"/>
              </w:rPr>
              <w:t>Scenski plesač</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Times New Roman" w:eastAsia="Times New Roman" w:hAnsi="Times New Roman" w:cs="Times New Roman"/>
                <w:color w:val="231F20"/>
              </w:rPr>
            </w:pPr>
            <w:r w:rsidRPr="001C5E73">
              <w:rPr>
                <w:rFonts w:ascii="Times New Roman" w:eastAsia="Times New Roman" w:hAnsi="Times New Roman" w:cs="Times New Roman"/>
                <w:color w:val="231F20"/>
              </w:rPr>
              <w:t>Tjelesna i zdravstvena kultura</w:t>
            </w:r>
          </w:p>
        </w:tc>
      </w:tr>
      <w:tr w:rsidR="001C5E73" w:rsidRPr="001C5E73" w:rsidTr="001C5E73">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Zdravstvo i socijalna skrb</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jc w:val="center"/>
              <w:rPr>
                <w:rFonts w:ascii="Minion Pro" w:eastAsia="Times New Roman" w:hAnsi="Minion Pro" w:cs="Times New Roman"/>
                <w:color w:val="231F20"/>
              </w:rPr>
            </w:pPr>
            <w:r w:rsidRPr="001C5E73">
              <w:rPr>
                <w:rFonts w:ascii="Minion Pro" w:eastAsia="Times New Roman" w:hAnsi="Minion Pro" w:cs="Times New Roman"/>
                <w:color w:val="231F20"/>
              </w:rPr>
              <w:t>4 i 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1C5E73" w:rsidRPr="001C5E73" w:rsidRDefault="001C5E73" w:rsidP="001C5E73">
            <w:pPr>
              <w:spacing w:after="135" w:line="240" w:lineRule="auto"/>
              <w:rPr>
                <w:rFonts w:ascii="Minion Pro" w:eastAsia="Times New Roman" w:hAnsi="Minion Pro" w:cs="Times New Roman"/>
                <w:color w:val="231F20"/>
              </w:rPr>
            </w:pPr>
            <w:r w:rsidRPr="001C5E73">
              <w:rPr>
                <w:rFonts w:ascii="Minion Pro" w:eastAsia="Times New Roman" w:hAnsi="Minion Pro" w:cs="Times New Roman"/>
                <w:color w:val="231F20"/>
              </w:rPr>
              <w:t>Kemija</w:t>
            </w:r>
          </w:p>
        </w:tc>
      </w:tr>
    </w:tbl>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w:t>
      </w:r>
    </w:p>
    <w:p w:rsidR="001C5E73" w:rsidRPr="001C5E73" w:rsidRDefault="001C5E73" w:rsidP="001C5E73">
      <w:pPr>
        <w:spacing w:after="135" w:line="240" w:lineRule="auto"/>
        <w:rPr>
          <w:rFonts w:ascii="Arial" w:eastAsia="Times New Roman" w:hAnsi="Arial" w:cs="Arial"/>
          <w:color w:val="414145"/>
          <w:sz w:val="21"/>
          <w:szCs w:val="21"/>
        </w:rPr>
      </w:pPr>
      <w:r w:rsidRPr="001C5E73">
        <w:rPr>
          <w:rFonts w:ascii="Arial" w:eastAsia="Times New Roman" w:hAnsi="Arial" w:cs="Arial"/>
          <w:color w:val="414145"/>
          <w:sz w:val="21"/>
          <w:szCs w:val="21"/>
        </w:rPr>
        <w:t> </w:t>
      </w:r>
    </w:p>
    <w:p w:rsidR="00E02729" w:rsidRDefault="00E02729">
      <w:bookmarkStart w:id="0" w:name="_GoBack"/>
      <w:bookmarkEnd w:id="0"/>
    </w:p>
    <w:p w:rsidR="001C5E73" w:rsidRDefault="001C5E73"/>
    <w:p w:rsidR="001C5E73" w:rsidRDefault="001C5E73"/>
    <w:p w:rsidR="001C5E73" w:rsidRDefault="001C5E73"/>
    <w:p w:rsidR="001C5E73" w:rsidRDefault="001C5E73"/>
    <w:p w:rsidR="001C5E73" w:rsidRDefault="001C5E73"/>
    <w:p w:rsidR="001C5E73" w:rsidRDefault="001C5E73"/>
    <w:p w:rsidR="001C5E73" w:rsidRDefault="001C5E73"/>
    <w:p w:rsidR="001C5E73" w:rsidRDefault="001C5E73"/>
    <w:p w:rsidR="001C5E73" w:rsidRDefault="001C5E73"/>
    <w:p w:rsidR="001C5E73" w:rsidRDefault="001C5E73"/>
    <w:p w:rsidR="001C5E73" w:rsidRDefault="001C5E73"/>
    <w:p w:rsidR="001C5E73" w:rsidRDefault="001C5E73"/>
    <w:p w:rsidR="001C5E73" w:rsidRDefault="001C5E73"/>
    <w:p w:rsidR="001C5E73" w:rsidRDefault="001C5E73"/>
    <w:sectPr w:rsidR="001C5E73" w:rsidSect="001C5E73">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73"/>
    <w:rsid w:val="001C5E73"/>
    <w:rsid w:val="00E0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5CA1"/>
  <w15:chartTrackingRefBased/>
  <w15:docId w15:val="{15FA7D10-E4AD-4D3B-ABB0-C235391E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2263">
      <w:bodyDiv w:val="1"/>
      <w:marLeft w:val="0"/>
      <w:marRight w:val="0"/>
      <w:marTop w:val="0"/>
      <w:marBottom w:val="0"/>
      <w:divBdr>
        <w:top w:val="none" w:sz="0" w:space="0" w:color="auto"/>
        <w:left w:val="none" w:sz="0" w:space="0" w:color="auto"/>
        <w:bottom w:val="none" w:sz="0" w:space="0" w:color="auto"/>
        <w:right w:val="none" w:sz="0" w:space="0" w:color="auto"/>
      </w:divBdr>
      <w:divsChild>
        <w:div w:id="1652784704">
          <w:marLeft w:val="0"/>
          <w:marRight w:val="0"/>
          <w:marTop w:val="0"/>
          <w:marBottom w:val="0"/>
          <w:divBdr>
            <w:top w:val="none" w:sz="0" w:space="0" w:color="auto"/>
            <w:left w:val="none" w:sz="0" w:space="0" w:color="auto"/>
            <w:bottom w:val="none" w:sz="0" w:space="0" w:color="auto"/>
            <w:right w:val="none" w:sz="0" w:space="0" w:color="auto"/>
          </w:divBdr>
          <w:divsChild>
            <w:div w:id="496113888">
              <w:marLeft w:val="0"/>
              <w:marRight w:val="0"/>
              <w:marTop w:val="0"/>
              <w:marBottom w:val="0"/>
              <w:divBdr>
                <w:top w:val="none" w:sz="0" w:space="0" w:color="auto"/>
                <w:left w:val="none" w:sz="0" w:space="0" w:color="auto"/>
                <w:bottom w:val="none" w:sz="0" w:space="0" w:color="auto"/>
                <w:right w:val="none" w:sz="0" w:space="0" w:color="auto"/>
              </w:divBdr>
              <w:divsChild>
                <w:div w:id="14927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9853">
          <w:marLeft w:val="0"/>
          <w:marRight w:val="0"/>
          <w:marTop w:val="0"/>
          <w:marBottom w:val="0"/>
          <w:divBdr>
            <w:top w:val="none" w:sz="0" w:space="0" w:color="auto"/>
            <w:left w:val="none" w:sz="0" w:space="0" w:color="auto"/>
            <w:bottom w:val="none" w:sz="0" w:space="0" w:color="auto"/>
            <w:right w:val="none" w:sz="0" w:space="0" w:color="auto"/>
          </w:divBdr>
          <w:divsChild>
            <w:div w:id="517083522">
              <w:marLeft w:val="0"/>
              <w:marRight w:val="0"/>
              <w:marTop w:val="0"/>
              <w:marBottom w:val="0"/>
              <w:divBdr>
                <w:top w:val="none" w:sz="0" w:space="0" w:color="auto"/>
                <w:left w:val="none" w:sz="0" w:space="0" w:color="auto"/>
                <w:bottom w:val="none" w:sz="0" w:space="0" w:color="auto"/>
                <w:right w:val="none" w:sz="0" w:space="0" w:color="auto"/>
              </w:divBdr>
              <w:divsChild>
                <w:div w:id="14368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2534">
          <w:marLeft w:val="0"/>
          <w:marRight w:val="0"/>
          <w:marTop w:val="0"/>
          <w:marBottom w:val="0"/>
          <w:divBdr>
            <w:top w:val="none" w:sz="0" w:space="0" w:color="auto"/>
            <w:left w:val="none" w:sz="0" w:space="0" w:color="auto"/>
            <w:bottom w:val="none" w:sz="0" w:space="0" w:color="auto"/>
            <w:right w:val="none" w:sz="0" w:space="0" w:color="auto"/>
          </w:divBdr>
          <w:divsChild>
            <w:div w:id="473375894">
              <w:marLeft w:val="0"/>
              <w:marRight w:val="0"/>
              <w:marTop w:val="0"/>
              <w:marBottom w:val="0"/>
              <w:divBdr>
                <w:top w:val="none" w:sz="0" w:space="0" w:color="auto"/>
                <w:left w:val="none" w:sz="0" w:space="0" w:color="auto"/>
                <w:bottom w:val="none" w:sz="0" w:space="0" w:color="auto"/>
                <w:right w:val="none" w:sz="0" w:space="0" w:color="auto"/>
              </w:divBdr>
              <w:divsChild>
                <w:div w:id="5691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5064">
          <w:marLeft w:val="0"/>
          <w:marRight w:val="0"/>
          <w:marTop w:val="0"/>
          <w:marBottom w:val="0"/>
          <w:divBdr>
            <w:top w:val="none" w:sz="0" w:space="0" w:color="auto"/>
            <w:left w:val="none" w:sz="0" w:space="0" w:color="auto"/>
            <w:bottom w:val="none" w:sz="0" w:space="0" w:color="auto"/>
            <w:right w:val="none" w:sz="0" w:space="0" w:color="auto"/>
          </w:divBdr>
          <w:divsChild>
            <w:div w:id="18356809">
              <w:marLeft w:val="0"/>
              <w:marRight w:val="0"/>
              <w:marTop w:val="0"/>
              <w:marBottom w:val="0"/>
              <w:divBdr>
                <w:top w:val="none" w:sz="0" w:space="0" w:color="auto"/>
                <w:left w:val="none" w:sz="0" w:space="0" w:color="auto"/>
                <w:bottom w:val="none" w:sz="0" w:space="0" w:color="auto"/>
                <w:right w:val="none" w:sz="0" w:space="0" w:color="auto"/>
              </w:divBdr>
              <w:divsChild>
                <w:div w:id="6221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52057" TargetMode="External"/><Relationship Id="rId18" Type="http://schemas.openxmlformats.org/officeDocument/2006/relationships/image" Target="media/image1.jpeg"/><Relationship Id="rId26" Type="http://schemas.openxmlformats.org/officeDocument/2006/relationships/hyperlink" Target="https://www.zakon.hr/cms.htm?id=19081" TargetMode="External"/><Relationship Id="rId3" Type="http://schemas.openxmlformats.org/officeDocument/2006/relationships/settings" Target="settings.xml"/><Relationship Id="rId21" Type="http://schemas.openxmlformats.org/officeDocument/2006/relationships/hyperlink" Target="https://www.zakon.hr/cms.htm?id=52057" TargetMode="External"/><Relationship Id="rId34" Type="http://schemas.openxmlformats.org/officeDocument/2006/relationships/theme" Target="theme/theme1.xml"/><Relationship Id="rId7" Type="http://schemas.openxmlformats.org/officeDocument/2006/relationships/hyperlink" Target="https://www.zakon.hr/cms.htm?id=17861" TargetMode="External"/><Relationship Id="rId12" Type="http://schemas.openxmlformats.org/officeDocument/2006/relationships/hyperlink" Target="https://www.zakon.hr/cms.htm?id=52057" TargetMode="External"/><Relationship Id="rId17" Type="http://schemas.openxmlformats.org/officeDocument/2006/relationships/hyperlink" Target="https://www.zakon.hr/cms.htm?id=52057" TargetMode="External"/><Relationship Id="rId25" Type="http://schemas.openxmlformats.org/officeDocument/2006/relationships/hyperlink" Target="https://www.zakon.hr/cms.htm?id=5205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akon.hr/cms.htm?id=52057" TargetMode="External"/><Relationship Id="rId20" Type="http://schemas.openxmlformats.org/officeDocument/2006/relationships/hyperlink" Target="https://www.zakon.hr/cms.htm?id=52057" TargetMode="External"/><Relationship Id="rId29" Type="http://schemas.openxmlformats.org/officeDocument/2006/relationships/hyperlink" Target="https://www.zakon.hr/cms.htm?id=19081" TargetMode="External"/><Relationship Id="rId1" Type="http://schemas.openxmlformats.org/officeDocument/2006/relationships/customXml" Target="../customXml/item1.xml"/><Relationship Id="rId6" Type="http://schemas.openxmlformats.org/officeDocument/2006/relationships/hyperlink" Target="https://www.zakon.hr/cms.htm?id=11324" TargetMode="External"/><Relationship Id="rId11" Type="http://schemas.openxmlformats.org/officeDocument/2006/relationships/hyperlink" Target="https://www.zakon.hr/cms.htm?id=52057" TargetMode="External"/><Relationship Id="rId24" Type="http://schemas.openxmlformats.org/officeDocument/2006/relationships/hyperlink" Target="https://www.zakon.hr/cms.htm?id=19081" TargetMode="External"/><Relationship Id="rId32" Type="http://schemas.openxmlformats.org/officeDocument/2006/relationships/hyperlink" Target="https://www.zakon.hr/cms.htm?id=52057" TargetMode="External"/><Relationship Id="rId5" Type="http://schemas.openxmlformats.org/officeDocument/2006/relationships/hyperlink" Target="https://www.zakon.hr/cms.htm?id=2731" TargetMode="External"/><Relationship Id="rId15" Type="http://schemas.openxmlformats.org/officeDocument/2006/relationships/hyperlink" Target="https://www.zakon.hr/cms.htm?id=52057" TargetMode="External"/><Relationship Id="rId23" Type="http://schemas.openxmlformats.org/officeDocument/2006/relationships/hyperlink" Target="https://www.zakon.hr/cms.htm?id=17861" TargetMode="External"/><Relationship Id="rId28" Type="http://schemas.openxmlformats.org/officeDocument/2006/relationships/hyperlink" Target="https://www.zakon.hr/cms.htm?id=19081" TargetMode="External"/><Relationship Id="rId10" Type="http://schemas.openxmlformats.org/officeDocument/2006/relationships/hyperlink" Target="https://www.zakon.hr/cms.htm?id=52057" TargetMode="External"/><Relationship Id="rId19" Type="http://schemas.openxmlformats.org/officeDocument/2006/relationships/hyperlink" Target="https://www.zakon.hr/cms.htm?id=52057" TargetMode="External"/><Relationship Id="rId31" Type="http://schemas.openxmlformats.org/officeDocument/2006/relationships/hyperlink" Target="https://www.zakon.hr/cms.htm?id=52057" TargetMode="External"/><Relationship Id="rId4" Type="http://schemas.openxmlformats.org/officeDocument/2006/relationships/webSettings" Target="webSettings.xml"/><Relationship Id="rId9" Type="http://schemas.openxmlformats.org/officeDocument/2006/relationships/hyperlink" Target="https://www.zakon.hr/cms.htm?id=52057" TargetMode="External"/><Relationship Id="rId14" Type="http://schemas.openxmlformats.org/officeDocument/2006/relationships/hyperlink" Target="https://www.zakon.hr/cms.htm?id=52057" TargetMode="External"/><Relationship Id="rId22" Type="http://schemas.openxmlformats.org/officeDocument/2006/relationships/hyperlink" Target="https://www.zakon.hr/cms.htm?id=52057" TargetMode="External"/><Relationship Id="rId27" Type="http://schemas.openxmlformats.org/officeDocument/2006/relationships/hyperlink" Target="https://www.zakon.hr/cms.htm?id=52057" TargetMode="External"/><Relationship Id="rId30" Type="http://schemas.openxmlformats.org/officeDocument/2006/relationships/hyperlink" Target="https://www.zakon.hr/cms.htm?id=52057" TargetMode="External"/><Relationship Id="rId8" Type="http://schemas.openxmlformats.org/officeDocument/2006/relationships/hyperlink" Target="https://www.zakon.hr/cms.htm?id=1908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1DC3-592E-456E-8691-0152A114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5956</Words>
  <Characters>33951</Characters>
  <Application>Microsoft Office Word</Application>
  <DocSecurity>0</DocSecurity>
  <Lines>282</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Krstić</dc:creator>
  <cp:keywords/>
  <dc:description/>
  <cp:lastModifiedBy>Melita Krstić</cp:lastModifiedBy>
  <cp:revision>1</cp:revision>
  <dcterms:created xsi:type="dcterms:W3CDTF">2023-04-11T08:51:00Z</dcterms:created>
  <dcterms:modified xsi:type="dcterms:W3CDTF">2023-04-11T08:52:00Z</dcterms:modified>
</cp:coreProperties>
</file>