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7F" w:rsidRDefault="00C2477F">
      <w:pPr>
        <w:rPr>
          <w:rFonts w:hint="eastAsia"/>
        </w:rPr>
      </w:pPr>
    </w:p>
    <w:p w:rsidR="00C2477F" w:rsidRDefault="00C2477F">
      <w:pPr>
        <w:rPr>
          <w:rFonts w:hint="eastAsia"/>
        </w:rPr>
      </w:pPr>
    </w:p>
    <w:p w:rsidR="00C2477F" w:rsidRDefault="00DA6E56">
      <w:pPr>
        <w:pStyle w:val="BodyText"/>
        <w:spacing w:after="0" w:line="264" w:lineRule="auto"/>
        <w:jc w:val="center"/>
        <w:rPr>
          <w:rFonts w:ascii="Minion Pro Disp;serif" w:hAnsi="Minion Pro Disp;serif" w:hint="eastAsia"/>
          <w:b/>
          <w:color w:val="231F20"/>
          <w:sz w:val="19"/>
        </w:rPr>
      </w:pPr>
      <w:r>
        <w:rPr>
          <w:rFonts w:ascii="Minion Pro Disp;serif" w:hAnsi="Minion Pro Disp;serif"/>
          <w:b/>
          <w:color w:val="231F20"/>
          <w:sz w:val="19"/>
        </w:rPr>
        <w:t>MINISTARSTVO ZNANOSTI I OBRAZOVANJA</w:t>
      </w:r>
    </w:p>
    <w:p w:rsidR="00C2477F" w:rsidRDefault="00DA6E56">
      <w:pPr>
        <w:pStyle w:val="BodyText"/>
        <w:spacing w:after="0" w:line="273" w:lineRule="auto"/>
        <w:jc w:val="right"/>
        <w:rPr>
          <w:rFonts w:ascii="Minion Pro Cond;serif" w:hAnsi="Minion Pro Cond;serif" w:hint="eastAsia"/>
          <w:b/>
          <w:color w:val="231F20"/>
          <w:sz w:val="19"/>
        </w:rPr>
      </w:pPr>
      <w:r>
        <w:rPr>
          <w:rFonts w:ascii="Minion Pro Cond;serif" w:hAnsi="Minion Pro Cond;serif"/>
          <w:b/>
          <w:color w:val="231F20"/>
          <w:sz w:val="19"/>
        </w:rPr>
        <w:t>1240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Na temelju članka 22. stavka 7. Zakona o odgoju i obrazovanju u osnovnoj i srednjoj školi (»Narodne novine«, broj 87/2008, 86/2009, 92/2010, 105/2010 – ispr., 90/2011, 16/2012, 86/2012, 94/2013, 152/2014, 7/2017, 68/2018 i 98/2019), ministrica znanosti i obrazovanja donosi</w:t>
      </w:r>
    </w:p>
    <w:p w:rsidR="00C2477F" w:rsidRDefault="00DA6E56">
      <w:pPr>
        <w:pStyle w:val="BodyText"/>
        <w:spacing w:after="0" w:line="264" w:lineRule="auto"/>
        <w:jc w:val="center"/>
        <w:rPr>
          <w:rFonts w:ascii="Minion Pro Cond Disp;serif" w:hAnsi="Minion Pro Cond Disp;serif" w:hint="eastAsia"/>
          <w:b/>
          <w:color w:val="231F20"/>
          <w:sz w:val="19"/>
        </w:rPr>
      </w:pPr>
      <w:r>
        <w:rPr>
          <w:rFonts w:ascii="Minion Pro Cond Disp;serif" w:hAnsi="Minion Pro Cond Disp;serif"/>
          <w:b/>
          <w:color w:val="231F20"/>
          <w:sz w:val="19"/>
        </w:rPr>
        <w:t>ODLUKU</w:t>
      </w:r>
    </w:p>
    <w:p w:rsidR="00C2477F" w:rsidRDefault="00DA6E56">
      <w:pPr>
        <w:pStyle w:val="BodyText"/>
        <w:spacing w:after="0" w:line="259" w:lineRule="auto"/>
        <w:jc w:val="center"/>
        <w:rPr>
          <w:rFonts w:ascii="Minion Pro Cond;serif" w:hAnsi="Minion Pro Cond;serif" w:hint="eastAsia"/>
          <w:b/>
          <w:color w:val="231F20"/>
          <w:sz w:val="19"/>
        </w:rPr>
      </w:pPr>
      <w:r>
        <w:rPr>
          <w:rFonts w:ascii="Minion Pro Cond;serif" w:hAnsi="Minion Pro Cond;serif"/>
          <w:b/>
          <w:color w:val="231F20"/>
          <w:sz w:val="19"/>
        </w:rPr>
        <w:t>O UPISU UČENIKA U I. RAZRED SREDNJE ŠKOLE U ŠKOLSKOJ GODINI 2020./2021.</w:t>
      </w: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OPĆE ODREDBE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I.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2020./2021.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II.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U I. razred srednje škole učenici se upisuju u skladu s ovom Odlukom i Pravilnikom o elementima i kriterijima za izbor kandidata za upis u I. razred srednje škole (»Narodne novine«, broj: 49/2015 i 47/2017), (u daljnjem tekstu: Pravilnik o elementima i kriterijima).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III.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Učenici se prijavljuju i upisuju u I. razred srednje škole u školskoj godini 2020./2021. elektroničkim načinom preko mrežne stranice Nacionalnoga informacijskog sustava prijava i upisa u srednje škole (u daljnjemu tekstu: NISpuSŠ) www.upisi.hr, a na temelju natječaja za upis koji raspisuju i objavljuju škole.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IV.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U I. razred srednjih škola Republike Hrvatske u programe redovitog obrazovanja u školskoj godini 2020./2021. planira se broj upisnih mjesta za ukupno 47.445 učenika u 2.210 razrednih odjela.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V.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(1) U srednje škole kojima je osnivač Republika Hrvatska, jedinice lokalne samouprave te jedinice područne (regionalne) samouprave u I. razred redovitog obrazovanja planira se broj upisnih mjesta za ukupno 44.903 učenika u 2.080 razrednih odjela: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1) u gimnazijske programe 10.643 učenika u 457 razrednih odjela ili 23,7 %;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2) u programe obrazovanja za stjecanje strukovne kvalifikacije u trajanju od četiri godine 18.709 učenika u 826 razrednih odjela ili 41,67 %;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3) u programe obrazovanja za stjecanje strukovne kvalifikacije u trajanju od tri godine 6.892 učenika u 314 razrednih odjela ili 15,35 %;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4) u programe obrazovanja za vezane obrte u trajanju od tri godine 5.114 učenika u 228 razrednih odjela ili 11,39 %;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5) u programe obrazovanja za stjecanje strukovne kvalifikacije medicinska sestra opće njege/medicinski tehničar opće njege u trajanju od pet godina 1.093 učenika u 44 razredna odjela ili 2,43 %;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6) u programe obrazovanja za stjecanje niže stručne spreme 169 učenika u 10 razrednih odjela ili 0,38 %;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7) u prilagođene i posebne programe za učenike s teškoćama u razvoju 886 učenika u 112 razrednih odjela ili 1,97 %;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8) u programe obrazovanja glazbenih i plesnih škola 1.397 učenika u 89 razrednih odjela ili 3,11 %.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 </w:t>
      </w:r>
      <w:r>
        <w:rPr>
          <w:rFonts w:ascii="Minion Pro" w:hAnsi="Minion Pro"/>
          <w:i/>
          <w:color w:val="231F20"/>
          <w:sz w:val="19"/>
        </w:rPr>
        <w:t>Strukturi razrednih odjela i broju učenika I. razreda srednjih škola u školskoj godini 2020./2021., I. dio – srednje škole kojima je osnivač Republika Hrvatska, jedinice lokalne samouprave te jedinice područne (regionalne) samouprave </w:t>
      </w:r>
      <w:r>
        <w:rPr>
          <w:rFonts w:ascii="Minion Pro Cond;serif" w:hAnsi="Minion Pro Cond;serif"/>
          <w:color w:val="231F20"/>
          <w:sz w:val="19"/>
        </w:rPr>
        <w:t>(u daljnjem tekstu: </w:t>
      </w:r>
      <w:r>
        <w:rPr>
          <w:rFonts w:ascii="Minion Pro" w:hAnsi="Minion Pro"/>
          <w:i/>
          <w:color w:val="231F20"/>
          <w:sz w:val="19"/>
        </w:rPr>
        <w:t>Struktura), </w:t>
      </w:r>
      <w:r>
        <w:rPr>
          <w:rFonts w:ascii="Minion Pro Cond;serif" w:hAnsi="Minion Pro Cond;serif"/>
          <w:color w:val="231F20"/>
          <w:sz w:val="19"/>
        </w:rPr>
        <w:t>koja je u Dodatku ove odluke i njezin je sastavni dio.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VI.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U programe redovitog obrazovanja u srednjim školama čiji su osnivači vjerske zajednice s pravom javnosti u I. razred redovitog obrazovanja planira se mogućnost upisa za 901 učenik u 38 razrednih odjela prema vrstama programa obrazovanja, školama i odobrenim mjestima za upis koja su utvrđena </w:t>
      </w:r>
      <w:r>
        <w:rPr>
          <w:rFonts w:ascii="Minion Pro" w:hAnsi="Minion Pro"/>
          <w:i/>
          <w:color w:val="231F20"/>
          <w:sz w:val="19"/>
        </w:rPr>
        <w:t>u Strukturi razrednih odjela i broju učenika I. razreda srednjih škola u školskoj godini 2020./2021., II. dio – škole čiji su osnivači vjerske zajednice </w:t>
      </w:r>
      <w:r>
        <w:rPr>
          <w:rFonts w:ascii="Minion Pro Cond;serif" w:hAnsi="Minion Pro Cond;serif"/>
          <w:color w:val="231F20"/>
          <w:sz w:val="19"/>
        </w:rPr>
        <w:t>(u daljnjem tekstu: </w:t>
      </w:r>
      <w:r>
        <w:rPr>
          <w:rFonts w:ascii="Minion Pro" w:hAnsi="Minion Pro"/>
          <w:i/>
          <w:color w:val="231F20"/>
          <w:sz w:val="19"/>
        </w:rPr>
        <w:t>Struktura), </w:t>
      </w:r>
      <w:r>
        <w:rPr>
          <w:rFonts w:ascii="Minion Pro Cond;serif" w:hAnsi="Minion Pro Cond;serif"/>
          <w:color w:val="231F20"/>
          <w:sz w:val="19"/>
        </w:rPr>
        <w:t>koja je u Dodatku ove odluke i njezin je sastavni dio.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VII.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U programe redovitog obrazovanja u srednjim školama čiji su osnivači pravne ili fizičke osobe, u I. razred planira se mogućnost upisa za 1.641 učenik u 92 razredna odjela prema vrstama programa obrazovanja, školama i odobrenim mjestima za upis koja su utvrđena u </w:t>
      </w:r>
      <w:r>
        <w:rPr>
          <w:rFonts w:ascii="Minion Pro" w:hAnsi="Minion Pro"/>
          <w:i/>
          <w:color w:val="231F20"/>
          <w:sz w:val="19"/>
        </w:rPr>
        <w:t>Strukturi razrednih odjela i broju učenika I. razreda srednjih škola u školskoj godini 2020./2021., III. dio – privatne škole </w:t>
      </w:r>
      <w:r>
        <w:rPr>
          <w:rFonts w:ascii="Minion Pro Cond;serif" w:hAnsi="Minion Pro Cond;serif"/>
          <w:color w:val="231F20"/>
          <w:sz w:val="19"/>
        </w:rPr>
        <w:t>(u daljnjem tekstu: </w:t>
      </w:r>
      <w:r>
        <w:rPr>
          <w:rFonts w:ascii="Minion Pro" w:hAnsi="Minion Pro"/>
          <w:i/>
          <w:color w:val="231F20"/>
          <w:sz w:val="19"/>
        </w:rPr>
        <w:t>Struktura), </w:t>
      </w:r>
      <w:r>
        <w:rPr>
          <w:rFonts w:ascii="Minion Pro Cond;serif" w:hAnsi="Minion Pro Cond;serif"/>
          <w:color w:val="231F20"/>
          <w:sz w:val="19"/>
        </w:rPr>
        <w:t>koja je u Dodatku i njezin je sastavni dio.</w:t>
      </w:r>
    </w:p>
    <w:p w:rsidR="00C2477F" w:rsidRDefault="00C2477F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TIJELA KOJA SUDJELUJU U PROVEDBI ELEKTRONIČKIH PRIJAVA I UPISA U SREDNJE ŠKOLE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VIII.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Središnji državni ured za šport.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lastRenderedPageBreak/>
        <w:t>(2) Upisna povjerenstva dužna su biti dostupna tijekom cijeloga trajanja upisnoga postupka.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(4) Kvalitetu postupka provedbe elektroničkih prijava i upisa u srednje škole prati i vrednuje Ministarstvo, odnosno tijela koja Ministarstvo ovlasti.</w:t>
      </w: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UPISNI ROKOVI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IX.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Učenici će se prijavljivati za upis i upisivati u I. razred srednjih škola u školskoj godini 2020./2021. u ljetnome i jesenskome upisnom roku.</w:t>
      </w:r>
    </w:p>
    <w:p w:rsidR="00C2477F" w:rsidRDefault="00DA6E56">
      <w:pPr>
        <w:pStyle w:val="BodyText"/>
        <w:spacing w:after="0" w:line="249" w:lineRule="auto"/>
        <w:jc w:val="center"/>
        <w:rPr>
          <w:rFonts w:ascii="Minion Pro" w:hAnsi="Minion Pro" w:hint="eastAsia"/>
          <w:i/>
          <w:color w:val="231F20"/>
          <w:sz w:val="20"/>
        </w:rPr>
      </w:pPr>
      <w:r>
        <w:rPr>
          <w:rFonts w:ascii="Minion Pro" w:hAnsi="Minion Pro"/>
          <w:i/>
          <w:color w:val="231F20"/>
          <w:sz w:val="20"/>
        </w:rPr>
        <w:t>Ljetni upisni rok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X.</w:t>
      </w:r>
    </w:p>
    <w:tbl>
      <w:tblPr>
        <w:tblW w:w="963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42"/>
        <w:gridCol w:w="1396"/>
      </w:tblGrid>
      <w:tr w:rsidR="00C2477F"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>Opis postupaka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>Datum</w:t>
            </w:r>
          </w:p>
        </w:tc>
      </w:tr>
      <w:tr w:rsidR="00C2477F"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Početak prijava u sustav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1. 6. 2020.</w:t>
            </w:r>
          </w:p>
        </w:tc>
      </w:tr>
      <w:tr w:rsidR="00C2477F"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Završetak registracije za kandidate izvan redovitog sustava obrazovanja RH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13. 7. 2020.</w:t>
            </w:r>
          </w:p>
        </w:tc>
      </w:tr>
      <w:tr w:rsidR="00C2477F"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Početak prijava obrazovnih programa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8. 7. 2020.</w:t>
            </w:r>
          </w:p>
        </w:tc>
      </w:tr>
      <w:tr w:rsidR="00C2477F"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Završetak prijave obrazovnih programa koji zahtijevaju dodatne provjere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12. 7. 2020.</w:t>
            </w:r>
          </w:p>
        </w:tc>
      </w:tr>
      <w:tr w:rsidR="00C2477F"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Provođenje dodatnih ispita i provjera te unos rezultata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13. 7. – 16. 7. 2020.</w:t>
            </w:r>
          </w:p>
        </w:tc>
      </w:tr>
      <w:tr w:rsidR="00C2477F"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13. 7. 2020.</w:t>
            </w:r>
          </w:p>
        </w:tc>
      </w:tr>
      <w:tr w:rsidR="00C2477F"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1. 6. – 8. 7. 2020.</w:t>
            </w:r>
          </w:p>
        </w:tc>
      </w:tr>
      <w:tr w:rsidR="00C2477F"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20. 7. 2020.</w:t>
            </w:r>
          </w:p>
        </w:tc>
      </w:tr>
      <w:tr w:rsidR="00C2477F"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Brisanje s lista kandidata koji nisu zadovoljili preduvjete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21. 7. 2020.</w:t>
            </w:r>
          </w:p>
        </w:tc>
      </w:tr>
      <w:tr w:rsidR="00C2477F"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Završetak prijava obrazovnih programa</w:t>
            </w:r>
          </w:p>
          <w:p w:rsidR="00C2477F" w:rsidRDefault="00DA6E56">
            <w:pPr>
              <w:pStyle w:val="Sadrajitablice"/>
              <w:rPr>
                <w:rFonts w:ascii="Minion Pro" w:eastAsia="Minion Pro" w:hAnsi="Minion Pro" w:cs="Minion Pro"/>
              </w:rPr>
            </w:pPr>
            <w:r>
              <w:rPr>
                <w:rFonts w:ascii="Minion Pro" w:hAnsi="Minion Pro"/>
                <w:sz w:val="22"/>
                <w:szCs w:val="22"/>
              </w:rPr>
              <w:t>Početak ispisa prijavnica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22. 7. 2020.</w:t>
            </w:r>
          </w:p>
        </w:tc>
      </w:tr>
      <w:tr w:rsidR="00C2477F"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Krajnji rok za zaprimanje potpisanih prijavnica (učenici dostavljaju razrednicima, a ostali kandidati šalju prijavnice Središnjem prijavnom uredu)</w:t>
            </w:r>
          </w:p>
          <w:p w:rsidR="00C2477F" w:rsidRDefault="00DA6E56">
            <w:pPr>
              <w:pStyle w:val="Sadrajitablice"/>
              <w:rPr>
                <w:rFonts w:ascii="Minion Pro" w:eastAsia="Minion Pro" w:hAnsi="Minion Pro" w:cs="Minion Pro"/>
              </w:rPr>
            </w:pPr>
            <w:r>
              <w:rPr>
                <w:rFonts w:ascii="Minion Pro" w:hAnsi="Minion Pro"/>
                <w:sz w:val="22"/>
                <w:szCs w:val="22"/>
              </w:rPr>
              <w:t>Brisanje s lista kandidata koji nisu zadovoljili preduvjete ili dostavili prijavnice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24. 7. 2020.</w:t>
            </w:r>
          </w:p>
        </w:tc>
      </w:tr>
      <w:tr w:rsidR="00C2477F"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>Objava konačnih ljestvica poretka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>25. 7. 2020.</w:t>
            </w:r>
          </w:p>
        </w:tc>
      </w:tr>
      <w:tr w:rsidR="00C2477F"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C2477F" w:rsidRDefault="00DA6E56">
            <w:pPr>
              <w:pStyle w:val="Sadrajitablice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>Dostava potpisanog obrasca o upisu u I. razred srednje škole (upisnice) </w:t>
            </w:r>
            <w:r>
              <w:rPr>
                <w:rFonts w:ascii="Minion Pro" w:hAnsi="Minion Pro"/>
                <w:sz w:val="22"/>
                <w:szCs w:val="22"/>
              </w:rPr>
              <w:t>u srednju školu u koju se učenik upisao</w:t>
            </w:r>
          </w:p>
          <w:p w:rsidR="00C2477F" w:rsidRDefault="00DA6E56">
            <w:pPr>
              <w:pStyle w:val="Sadrajitablice"/>
              <w:rPr>
                <w:rFonts w:ascii="Minion Pro" w:eastAsia="Minion Pro" w:hAnsi="Minion Pro" w:cs="Minion Pro"/>
              </w:rPr>
            </w:pPr>
            <w:r>
              <w:rPr>
                <w:rFonts w:ascii="Minion Pro" w:hAnsi="Minion Pro"/>
                <w:sz w:val="22"/>
                <w:szCs w:val="22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27. 7. – 31. 7. 2020.</w:t>
            </w:r>
          </w:p>
        </w:tc>
      </w:tr>
      <w:tr w:rsidR="00C2477F"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Objava okvirnoga broja slobodnih mjesta za jesenski upisni rok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1. 8. 2020.</w:t>
            </w:r>
          </w:p>
        </w:tc>
      </w:tr>
      <w:tr w:rsidR="00C2477F"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Službena objava slobodnih mjesta za jesenski upisni rok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12. 8. 2020.</w:t>
            </w:r>
          </w:p>
        </w:tc>
      </w:tr>
    </w:tbl>
    <w:p w:rsidR="00C2477F" w:rsidRDefault="00C2477F">
      <w:pPr>
        <w:pStyle w:val="BodyText"/>
        <w:spacing w:after="0" w:line="252" w:lineRule="auto"/>
        <w:rPr>
          <w:rFonts w:hint="eastAsia"/>
        </w:rPr>
      </w:pPr>
    </w:p>
    <w:p w:rsidR="00C2477F" w:rsidRDefault="00C2477F">
      <w:pPr>
        <w:pStyle w:val="BodyText"/>
        <w:spacing w:after="0" w:line="252" w:lineRule="auto"/>
        <w:rPr>
          <w:rFonts w:hint="eastAsia"/>
        </w:rPr>
      </w:pPr>
    </w:p>
    <w:p w:rsidR="00C2477F" w:rsidRDefault="00C2477F">
      <w:pPr>
        <w:pStyle w:val="BodyText"/>
        <w:spacing w:after="0" w:line="252" w:lineRule="auto"/>
      </w:pPr>
    </w:p>
    <w:p w:rsidR="00DA6E56" w:rsidRDefault="00DA6E56">
      <w:pPr>
        <w:pStyle w:val="BodyText"/>
        <w:spacing w:after="0" w:line="252" w:lineRule="auto"/>
      </w:pPr>
    </w:p>
    <w:p w:rsidR="00DA6E56" w:rsidRDefault="00DA6E56">
      <w:pPr>
        <w:pStyle w:val="BodyText"/>
        <w:spacing w:after="0" w:line="252" w:lineRule="auto"/>
      </w:pPr>
    </w:p>
    <w:p w:rsidR="00DA6E56" w:rsidRDefault="00DA6E56">
      <w:pPr>
        <w:pStyle w:val="BodyText"/>
        <w:spacing w:after="0" w:line="252" w:lineRule="auto"/>
      </w:pPr>
    </w:p>
    <w:p w:rsidR="00DA6E56" w:rsidRDefault="00DA6E56">
      <w:pPr>
        <w:pStyle w:val="BodyText"/>
        <w:spacing w:after="0" w:line="252" w:lineRule="auto"/>
      </w:pPr>
    </w:p>
    <w:p w:rsidR="00DA6E56" w:rsidRDefault="00DA6E56">
      <w:pPr>
        <w:pStyle w:val="BodyText"/>
        <w:spacing w:after="0" w:line="252" w:lineRule="auto"/>
      </w:pPr>
    </w:p>
    <w:p w:rsidR="00DA6E56" w:rsidRDefault="00DA6E56">
      <w:pPr>
        <w:pStyle w:val="BodyText"/>
        <w:spacing w:after="0" w:line="252" w:lineRule="auto"/>
      </w:pPr>
    </w:p>
    <w:p w:rsidR="00DA6E56" w:rsidRDefault="00DA6E56">
      <w:pPr>
        <w:pStyle w:val="BodyText"/>
        <w:spacing w:after="0" w:line="252" w:lineRule="auto"/>
        <w:rPr>
          <w:rFonts w:hint="eastAsia"/>
        </w:rPr>
      </w:pPr>
    </w:p>
    <w:p w:rsidR="00C2477F" w:rsidRDefault="00C2477F">
      <w:pPr>
        <w:pStyle w:val="BodyText"/>
        <w:spacing w:after="0" w:line="252" w:lineRule="auto"/>
        <w:rPr>
          <w:rFonts w:hint="eastAsia"/>
        </w:rPr>
      </w:pPr>
    </w:p>
    <w:p w:rsidR="00C2477F" w:rsidRDefault="00DA6E56">
      <w:pPr>
        <w:pStyle w:val="BodyText"/>
        <w:spacing w:after="0" w:line="249" w:lineRule="auto"/>
        <w:jc w:val="center"/>
        <w:rPr>
          <w:rFonts w:ascii="Minion Pro" w:hAnsi="Minion Pro" w:hint="eastAsia"/>
          <w:i/>
          <w:color w:val="231F20"/>
          <w:sz w:val="20"/>
        </w:rPr>
      </w:pPr>
      <w:r>
        <w:rPr>
          <w:rFonts w:ascii="Minion Pro" w:hAnsi="Minion Pro"/>
          <w:i/>
          <w:color w:val="231F20"/>
          <w:sz w:val="20"/>
        </w:rPr>
        <w:lastRenderedPageBreak/>
        <w:t>Jesenski upisni rok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XI.</w:t>
      </w:r>
    </w:p>
    <w:tbl>
      <w:tblPr>
        <w:tblW w:w="963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83"/>
        <w:gridCol w:w="1055"/>
      </w:tblGrid>
      <w:tr w:rsidR="00C2477F">
        <w:tc>
          <w:tcPr>
            <w:tcW w:w="8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Opis postupaka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Datum</w:t>
            </w:r>
          </w:p>
        </w:tc>
      </w:tr>
      <w:tr w:rsidR="00C2477F">
        <w:tc>
          <w:tcPr>
            <w:tcW w:w="8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Početak prijava u sustav i prijava obrazovnih programa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21. 8. 2020.</w:t>
            </w:r>
          </w:p>
        </w:tc>
      </w:tr>
      <w:tr w:rsidR="00C2477F">
        <w:tc>
          <w:tcPr>
            <w:tcW w:w="8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16"/>
              </w:rPr>
            </w:pPr>
            <w:r>
              <w:rPr>
                <w:rFonts w:ascii="Minion Pro" w:hAnsi="Minion Pro"/>
                <w:sz w:val="16"/>
              </w:rPr>
              <w:t>Završetak registracije za kandidate izvan redovitog sustava obrazovanja RH</w:t>
            </w:r>
          </w:p>
          <w:p w:rsidR="00C2477F" w:rsidRDefault="00DA6E56">
            <w:pPr>
              <w:pStyle w:val="Sadrajitablice"/>
              <w:rPr>
                <w:rFonts w:ascii="Minion Pro" w:eastAsia="Minion Pro" w:hAnsi="Minion Pro" w:cs="Minion Pro"/>
              </w:rPr>
            </w:pPr>
            <w:r>
              <w:rPr>
                <w:rFonts w:ascii="Minion Pro" w:hAnsi="Minion Pro"/>
                <w:sz w:val="16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24. 8. 2020.</w:t>
            </w:r>
          </w:p>
        </w:tc>
      </w:tr>
      <w:tr w:rsidR="00C2477F">
        <w:tc>
          <w:tcPr>
            <w:tcW w:w="8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21. 8. 2020.</w:t>
            </w:r>
          </w:p>
        </w:tc>
      </w:tr>
      <w:tr w:rsidR="00C2477F">
        <w:tc>
          <w:tcPr>
            <w:tcW w:w="8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Završetak prijave obrazovnih programa koji zahtijevaju dodatne provjere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24. 8. 2020.</w:t>
            </w:r>
          </w:p>
        </w:tc>
      </w:tr>
      <w:tr w:rsidR="00C2477F">
        <w:tc>
          <w:tcPr>
            <w:tcW w:w="8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Provođenje dodatnih ispita i provjera te unos rezultata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25. 8. 2020.</w:t>
            </w:r>
          </w:p>
        </w:tc>
      </w:tr>
      <w:tr w:rsidR="00C2477F">
        <w:tc>
          <w:tcPr>
            <w:tcW w:w="8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16"/>
              </w:rPr>
            </w:pPr>
            <w:r>
              <w:rPr>
                <w:rFonts w:ascii="Minion Pro" w:hAnsi="Minion Pro"/>
                <w:sz w:val="16"/>
              </w:rPr>
              <w:t>Unos prigovora na osobne podatke, ocjene, natjecanja, rezultate dodatnih provjera i podatke na temelju kojih se ostvaruju dodatna prava za upis</w:t>
            </w:r>
          </w:p>
          <w:p w:rsidR="00C2477F" w:rsidRDefault="00DA6E56">
            <w:pPr>
              <w:pStyle w:val="Sadrajitablice"/>
              <w:rPr>
                <w:rFonts w:ascii="Minion Pro" w:hAnsi="Minion Pro" w:hint="eastAsia"/>
                <w:sz w:val="16"/>
              </w:rPr>
            </w:pPr>
            <w:r>
              <w:rPr>
                <w:rFonts w:ascii="Minion Pro" w:hAnsi="Minion Pro"/>
                <w:sz w:val="16"/>
              </w:rPr>
              <w:t>Završetak unosa rezultata s popravnih ispita</w:t>
            </w:r>
          </w:p>
          <w:p w:rsidR="00C2477F" w:rsidRDefault="00DA6E56">
            <w:pPr>
              <w:pStyle w:val="Sadrajitablice"/>
              <w:rPr>
                <w:rFonts w:ascii="Minion Pro" w:eastAsia="Minion Pro" w:hAnsi="Minion Pro" w:cs="Minion Pro"/>
              </w:rPr>
            </w:pPr>
            <w:r>
              <w:rPr>
                <w:rFonts w:ascii="Minion Pro" w:hAnsi="Minion Pro"/>
                <w:sz w:val="16"/>
              </w:rPr>
              <w:t>Brisanje s lista kandidata koji nisu zadovoljili preduvjete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27. 8. 2020.</w:t>
            </w:r>
          </w:p>
        </w:tc>
      </w:tr>
      <w:tr w:rsidR="00C2477F">
        <w:tc>
          <w:tcPr>
            <w:tcW w:w="8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16"/>
              </w:rPr>
            </w:pPr>
            <w:r>
              <w:rPr>
                <w:rFonts w:ascii="Minion Pro" w:hAnsi="Minion Pro"/>
                <w:sz w:val="16"/>
              </w:rPr>
              <w:t>Završetak prijava obrazovnih programa</w:t>
            </w:r>
          </w:p>
          <w:p w:rsidR="00C2477F" w:rsidRDefault="00DA6E56">
            <w:pPr>
              <w:pStyle w:val="Sadrajitablice"/>
              <w:rPr>
                <w:rFonts w:ascii="Minion Pro" w:eastAsia="Minion Pro" w:hAnsi="Minion Pro" w:cs="Minion Pro"/>
              </w:rPr>
            </w:pPr>
            <w:r>
              <w:rPr>
                <w:rFonts w:ascii="Minion Pro" w:hAnsi="Minion Pro"/>
                <w:sz w:val="16"/>
              </w:rPr>
              <w:t>Početak ispisa prijavnica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28. 8. 2020.</w:t>
            </w:r>
          </w:p>
        </w:tc>
      </w:tr>
      <w:tr w:rsidR="00C2477F">
        <w:tc>
          <w:tcPr>
            <w:tcW w:w="8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16"/>
              </w:rPr>
            </w:pPr>
            <w:r>
              <w:rPr>
                <w:rFonts w:ascii="Minion Pro" w:hAnsi="Minion Pro"/>
                <w:sz w:val="16"/>
              </w:rPr>
              <w:t>Krajnji rok za zaprimanje potpisanih prijavnica (učenici dostavljaju razrednicima, a ostali kandidati šalju Središnjem prijavnom uredu)</w:t>
            </w:r>
          </w:p>
          <w:p w:rsidR="00C2477F" w:rsidRDefault="00DA6E56">
            <w:pPr>
              <w:pStyle w:val="Sadrajitablice"/>
              <w:rPr>
                <w:rFonts w:ascii="Minion Pro" w:eastAsia="Minion Pro" w:hAnsi="Minion Pro" w:cs="Minion Pro"/>
              </w:rPr>
            </w:pPr>
            <w:r>
              <w:rPr>
                <w:rFonts w:ascii="Minion Pro" w:hAnsi="Minion Pro"/>
                <w:sz w:val="16"/>
              </w:rPr>
              <w:t>Brisanje s lista kandidata koji nisu zadovoljili preduvjete ili dostavili prijavnice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31. 8. 2020.</w:t>
            </w:r>
          </w:p>
        </w:tc>
      </w:tr>
      <w:tr w:rsidR="00C2477F">
        <w:tc>
          <w:tcPr>
            <w:tcW w:w="8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Objava konačnih ljestvica poretka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1. 9. 2020.</w:t>
            </w:r>
          </w:p>
        </w:tc>
      </w:tr>
      <w:tr w:rsidR="00C2477F">
        <w:tc>
          <w:tcPr>
            <w:tcW w:w="8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16"/>
              </w:rPr>
            </w:pPr>
            <w:r>
              <w:rPr>
                <w:rFonts w:ascii="Minion Pro" w:hAnsi="Minion Pro"/>
                <w:sz w:val="16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C2477F" w:rsidRDefault="00DA6E56">
            <w:pPr>
              <w:pStyle w:val="Sadrajitablice"/>
              <w:rPr>
                <w:rFonts w:ascii="Minion Pro" w:eastAsia="Minion Pro" w:hAnsi="Minion Pro" w:cs="Minion Pro"/>
              </w:rPr>
            </w:pPr>
            <w:r>
              <w:rPr>
                <w:rFonts w:ascii="Minion Pro" w:hAnsi="Minion Pro"/>
                <w:b/>
                <w:sz w:val="16"/>
              </w:rPr>
              <w:t>Dostava potpisanog obrasca o upisu u I. razred srednje škole (upisnice) </w:t>
            </w:r>
            <w:r>
              <w:rPr>
                <w:rFonts w:ascii="Minion Pro" w:hAnsi="Minion Pro"/>
                <w:sz w:val="16"/>
              </w:rPr>
              <w:t>u srednju školu u koju se učenik upisao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2. 9. 2020.</w:t>
            </w:r>
          </w:p>
        </w:tc>
      </w:tr>
      <w:tr w:rsidR="00C2477F">
        <w:tc>
          <w:tcPr>
            <w:tcW w:w="8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Objava slobodnih upisnih mjesta nakon jesenskoga upisnog roka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3. 9. 2020.</w:t>
            </w:r>
          </w:p>
        </w:tc>
      </w:tr>
    </w:tbl>
    <w:p w:rsidR="00C2477F" w:rsidRDefault="00C2477F">
      <w:pPr>
        <w:pStyle w:val="BodyText"/>
        <w:spacing w:after="0" w:line="252" w:lineRule="auto"/>
        <w:rPr>
          <w:rFonts w:hint="eastAsia"/>
        </w:rPr>
      </w:pPr>
    </w:p>
    <w:p w:rsidR="00C2477F" w:rsidRDefault="00C2477F">
      <w:pPr>
        <w:pStyle w:val="BodyText"/>
        <w:spacing w:after="0" w:line="252" w:lineRule="auto"/>
        <w:rPr>
          <w:rFonts w:hint="eastAsia"/>
        </w:rPr>
      </w:pP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PRIJAVA KANDIDATA S TEŠKOĆAMA U RAZVOJU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XII.</w:t>
      </w: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i/>
          <w:color w:val="231F20"/>
          <w:sz w:val="19"/>
        </w:rPr>
      </w:pPr>
      <w:r>
        <w:rPr>
          <w:rFonts w:ascii="Minion Pro Cond;serif" w:hAnsi="Minion Pro Cond;serif"/>
          <w:i/>
          <w:color w:val="231F20"/>
          <w:sz w:val="19"/>
        </w:rPr>
        <w:t>Ljetni upisni rok</w:t>
      </w:r>
    </w:p>
    <w:tbl>
      <w:tblPr>
        <w:tblW w:w="963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8"/>
        <w:gridCol w:w="1180"/>
      </w:tblGrid>
      <w:tr w:rsidR="00C2477F"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8. 6. – 26. 6. 2020.</w:t>
            </w:r>
          </w:p>
        </w:tc>
      </w:tr>
      <w:tr w:rsidR="00C2477F"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Registracija kandidata s teškoćama u razvoju izvan redovitog sustava obrazovanja RH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8. 6. – 26. 6. 2020.</w:t>
            </w:r>
          </w:p>
        </w:tc>
      </w:tr>
      <w:tr w:rsidR="00C2477F"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8. 6. – 29. 6. 2020.</w:t>
            </w:r>
          </w:p>
        </w:tc>
      </w:tr>
      <w:tr w:rsidR="00C2477F"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Upisna povjerenstva županijskih upravnih odjela unose navedene odabire u sustav NISpuSŠ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8. 6. – 29. 6. 2020.</w:t>
            </w:r>
          </w:p>
        </w:tc>
      </w:tr>
      <w:tr w:rsidR="00C2477F"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Zatvaranje mogućnosti unosa odabira kandidata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29. 6. 2020.</w:t>
            </w:r>
          </w:p>
        </w:tc>
      </w:tr>
      <w:tr w:rsidR="00C2477F"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Provođenje dodatnih provjera za kandidate s teškoćama u razvoju i unos rezultata u sustav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1. 7. – 2. 7. 2020.</w:t>
            </w:r>
          </w:p>
        </w:tc>
      </w:tr>
      <w:tr w:rsidR="00C2477F"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Rangiranje kandidata s teškoćama u razvoju sukladno listama prioriteta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3. 7. 2020.</w:t>
            </w:r>
          </w:p>
        </w:tc>
      </w:tr>
      <w:tr w:rsidR="00C2477F">
        <w:tc>
          <w:tcPr>
            <w:tcW w:w="8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Smanjenje upisnih kvota razrednih odjela pojedinih obrazovnih programa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8. 7. 2020.</w:t>
            </w:r>
          </w:p>
        </w:tc>
      </w:tr>
    </w:tbl>
    <w:p w:rsidR="00C2477F" w:rsidRDefault="00C2477F">
      <w:pPr>
        <w:pStyle w:val="BodyText"/>
        <w:spacing w:after="0" w:line="252" w:lineRule="auto"/>
        <w:rPr>
          <w:rFonts w:hint="eastAsia"/>
        </w:rPr>
      </w:pP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i/>
          <w:color w:val="231F20"/>
          <w:sz w:val="19"/>
        </w:rPr>
      </w:pPr>
      <w:r>
        <w:rPr>
          <w:rFonts w:ascii="Minion Pro Cond;serif" w:hAnsi="Minion Pro Cond;serif"/>
          <w:i/>
          <w:color w:val="231F20"/>
          <w:sz w:val="19"/>
        </w:rPr>
        <w:t>Jesenski upisni rok</w:t>
      </w:r>
    </w:p>
    <w:tbl>
      <w:tblPr>
        <w:tblW w:w="963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7"/>
        <w:gridCol w:w="1221"/>
      </w:tblGrid>
      <w:tr w:rsidR="00C2477F"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17. 8. – 19. 8. 2020.</w:t>
            </w:r>
          </w:p>
        </w:tc>
      </w:tr>
      <w:tr w:rsidR="00C2477F"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lastRenderedPageBreak/>
              <w:t>Registracija kandidata s teškoćama u razvoju izvan redovitog sustava obrazovanja RH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17. 8. – 19. 8. 2020.</w:t>
            </w:r>
          </w:p>
        </w:tc>
      </w:tr>
      <w:tr w:rsidR="00C2477F"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17. 8. – 19. 8. 2020.</w:t>
            </w:r>
          </w:p>
        </w:tc>
      </w:tr>
      <w:tr w:rsidR="00C2477F"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Upisna povjerenstva ureda državne uprave unose navedene odabire u sustav NISpuSŠ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17. 8. – 19. 8. 2020.</w:t>
            </w:r>
          </w:p>
        </w:tc>
      </w:tr>
      <w:tr w:rsidR="00C2477F"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Zatvaranje mogućnosti unosa odabira kandidata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19. 8. 2020.</w:t>
            </w:r>
          </w:p>
        </w:tc>
      </w:tr>
      <w:tr w:rsidR="00C2477F"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Provođenje dodatnih provjera za kandidate s teškoćama u razvoju i unos rezultata u sustav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20. 8. 2020.</w:t>
            </w:r>
          </w:p>
        </w:tc>
      </w:tr>
      <w:tr w:rsidR="00C2477F"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Rangiranje kandidata s teškoćama u razvoju sukladno listama prioriteta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21. 8. 2020.</w:t>
            </w:r>
          </w:p>
        </w:tc>
      </w:tr>
      <w:tr w:rsidR="00C2477F"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Smanjenje upisnih kvota razrednih odjela pojedinih obrazovnih programa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21. 8. 2020.</w:t>
            </w:r>
          </w:p>
        </w:tc>
      </w:tr>
    </w:tbl>
    <w:p w:rsidR="00C2477F" w:rsidRDefault="00C2477F">
      <w:pPr>
        <w:pStyle w:val="BodyText"/>
        <w:spacing w:after="0" w:line="252" w:lineRule="auto"/>
        <w:rPr>
          <w:rFonts w:hint="eastAsia"/>
        </w:rPr>
      </w:pP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PRIJAVA UČENIKA KOJI SE UPISUJU U ODJELE ZA SPORTAŠE U LJETNOME I JESENSKOME UPISNOM ROKU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XIII.</w:t>
      </w:r>
    </w:p>
    <w:tbl>
      <w:tblPr>
        <w:tblW w:w="963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70"/>
        <w:gridCol w:w="1268"/>
      </w:tblGrid>
      <w:tr w:rsidR="00C2477F"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Opis postupaka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Datum</w:t>
            </w:r>
          </w:p>
        </w:tc>
      </w:tr>
      <w:tr w:rsidR="00C2477F"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Kandidati koji se upisuju u razredne odjele za sportaše iskazuju interes za upis u razredne odjele za sportaše u NISpuSŠ-u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1. 6. – 8. 6. 2020.</w:t>
            </w:r>
          </w:p>
        </w:tc>
      </w:tr>
      <w:tr w:rsidR="00C2477F"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Središnji državni ured za šport šalje nerangirane liste kandidata po sportovima nacionalnim sportskim savezima u svrhu izrade rang-lista po sportovima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9. 6. 2020.</w:t>
            </w:r>
          </w:p>
        </w:tc>
      </w:tr>
      <w:tr w:rsidR="00C2477F"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10. 6. – 18. 6. 2020.</w:t>
            </w:r>
          </w:p>
        </w:tc>
      </w:tr>
      <w:tr w:rsidR="00C2477F"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19. 6. 2020.</w:t>
            </w:r>
          </w:p>
        </w:tc>
      </w:tr>
      <w:tr w:rsidR="00C2477F"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sz w:val="16"/>
              </w:rPr>
            </w:pPr>
            <w:r>
              <w:rPr>
                <w:rFonts w:ascii="Minion Pro" w:hAnsi="Minion Pro"/>
                <w:sz w:val="16"/>
              </w:rPr>
              <w:t>Prigovor kandidata na pogreške (pogrešno upisani podaci, neupisani podaci…)</w:t>
            </w:r>
          </w:p>
          <w:p w:rsidR="00C2477F" w:rsidRDefault="00DA6E56">
            <w:pPr>
              <w:pStyle w:val="Sadrajitablice"/>
              <w:rPr>
                <w:rFonts w:ascii="Minion Pro" w:eastAsia="Minion Pro" w:hAnsi="Minion Pro" w:cs="Minion Pro"/>
              </w:rPr>
            </w:pPr>
            <w:r>
              <w:rPr>
                <w:rFonts w:ascii="Minion Pro" w:hAnsi="Minion Pro"/>
                <w:sz w:val="16"/>
              </w:rPr>
              <w:t>Nacionalni sportski savezi ispravljaju rang-liste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19. 6. – 25. 6. 2020.</w:t>
            </w:r>
          </w:p>
        </w:tc>
      </w:tr>
      <w:tr w:rsidR="00C2477F"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26. 6. 2020.</w:t>
            </w:r>
          </w:p>
        </w:tc>
      </w:tr>
      <w:tr w:rsidR="00C2477F"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Unos zaprimljenih rang-lista u NISpuSŠ te dodjeljivanje bodova kandidatima na temelju algoritma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</w:rPr>
            </w:pPr>
            <w:r>
              <w:rPr>
                <w:rFonts w:ascii="Minion Pro" w:hAnsi="Minion Pro"/>
              </w:rPr>
              <w:t>26. 6. – 29. 6. 2020.</w:t>
            </w:r>
          </w:p>
        </w:tc>
      </w:tr>
    </w:tbl>
    <w:p w:rsidR="00C2477F" w:rsidRDefault="00C2477F">
      <w:pPr>
        <w:pStyle w:val="BodyText"/>
        <w:spacing w:after="0" w:line="252" w:lineRule="auto"/>
        <w:rPr>
          <w:rFonts w:hint="eastAsia"/>
        </w:rPr>
      </w:pP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POSTUPAK PODNOŠENJA I RJEŠAVANJA PRIGOVORA</w:t>
      </w: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XIV.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(1) Učenici i ostali kandidati mogu podnositi prigovore tijekom provedbe postupka prijava i upisa učenika u I. razred srednje škole i to usmeno ili pisanim putem u elektroničkom obliku.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(4) U slučaju da nisu ispravljeni netočno uneseni podaci, učenici i ostali kandidati mogu podnijeti pisani prigovor CARNetovoj službi za podršku obrazovnom sustavu na obrascu za prigovor koji je dostupan na mrežnoj stranici NISpuSŠ-a.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(7) Rokovi za podnošenje prigovora iz ove točke utvrđeni su u točkama X., XI., XII. i XIII. ove Odluke.</w:t>
      </w: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NATJEČAJ ZA UPIS UČENIKA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XV.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(1) Natječaj za upis učenika objavljuje se najkasnije do 30. lipnja 2020. godine na mrežnim stranicama i oglasnim pločama srednje škole i osnivača.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lastRenderedPageBreak/>
        <w:t>(2) Sve uvjete koje srednja škola propisuje natječajem za upis, kao i ostale uvjete važne za nastavak obrazovanja u pojedinim obrazovnim programima, srednja škola dužna je unijeti u NISpuSŠ najkasnije do propisanoga datuma za početak prijava obrazovnih programa utvrđenog u točkama X., XI. i XII. ove Odluke.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(3) Natječaj za upis sadrži: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popis programa obrazovanja i broj upisnih mjesta po vrstama programa obrazovanja sukladno </w:t>
      </w:r>
      <w:r>
        <w:rPr>
          <w:rFonts w:ascii="Minion Pro" w:hAnsi="Minion Pro"/>
          <w:i/>
          <w:color w:val="231F20"/>
          <w:sz w:val="19"/>
        </w:rPr>
        <w:t>Strukturi,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rokove za upis učenika u I. razred u skladu s točkama X., XI. i XII. ove Odluke,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predmet posebno važan za upis koji određuje srednja škola,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natjecanje iz znanja koje se vrednuje pri upisu, a određuje ga srednja škola,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popis zdravstvenih zahtjeva za programe obrazovanja u koje srednja škola planira upisati učenike (sukladno Jedinstvenome popisu zdravstvenih zahtjeva srednjoškolskih programa u svrhu upisa u I. razred srednje škole),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popis potrebnih dokumenata koji su uvjet za upis u pojedini program obrazovanja,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datume provođenja dodatnih ispita i provjera sukladno rokovima navedenima u točkama X., XI. i XII. ove Odluke,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popis stranih jezika koji se izvode u školi kao obvezni nastavni predmeti,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popis nastavnih predmeta koji se izvode na nekom od stranih jezika (ako škola ima odobrenje Ministarstva za izvođenje dijela nastave na nekom od stranih jezika),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naknadu za povećane troškove obrazovanja propisanu točkom XIX. ove Odluke,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iznos školarine ako se naplaćuje,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datume zaprimanja upisnica i ostale dokumentacije potrebne za upis,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ostale kriterije i uvjete upisa koji se utvrđuju u skladu s ovom Odlukom i Pravilnikom o elementima i kriterijima.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Datum održavanja provjere znanja stranoga jezika srednje škole dužne su objaviti u natječaju za upis učenika i NISpuSŠ-u, sukladno rokovima navedenima u točkama X., XI. i XII. ove Odluke.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(5) Datum, način i postupak te druge važne elemente provođenja dodatnih ispita i provjera sposobnosti i darovitosti ili znanja utvrđuje srednja škola koja ih provodi.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NISpuSŠ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PRIJAVA I UPIS UČENIKA U SREDNJU ŠKOLU</w:t>
      </w: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i/>
          <w:color w:val="231F20"/>
          <w:sz w:val="19"/>
        </w:rPr>
      </w:pPr>
      <w:r>
        <w:rPr>
          <w:rFonts w:ascii="Minion Pro Cond;serif" w:hAnsi="Minion Pro Cond;serif"/>
          <w:i/>
          <w:color w:val="231F20"/>
          <w:sz w:val="19"/>
        </w:rPr>
        <w:t>Prijava učenika za upis u srednju školu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XVI.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(1) Učenici koji osnovno obrazovanje završavaju kao redoviti učenici osnovne škole u Republici Hrvatskoj u školskoj godini 2019./2020. prijavljuju se u NISpuSŠ u skladu s postupcima opisanima na mrežnoj stranici www.upisi.hr.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(3) Učenici koji se žele upisati u I. razred srednje škole u školskoj godini 2020./2021.,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(4) Postupci potvrđivanja (zaključavanja) lista prioriteta, potpisivanja i pohranjivanja prijavnica s konačnom listom prioriteta učenika opisani su na mrežnoj stranici www.upisi.hr.</w:t>
      </w: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i/>
          <w:color w:val="231F20"/>
          <w:sz w:val="19"/>
        </w:rPr>
      </w:pPr>
      <w:r>
        <w:rPr>
          <w:rFonts w:ascii="Minion Pro Cond;serif" w:hAnsi="Minion Pro Cond;serif"/>
          <w:i/>
          <w:color w:val="231F20"/>
          <w:sz w:val="19"/>
        </w:rPr>
        <w:t>Upis učenika u I. razred srednje škole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XVII.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(1) Na temelju javne objave konačnih ljestvica poretka učenika u NISpuSŠ-u, učenik ostvaruje pravo upisa u I. razred srednje škole u školskoj godini 2020./2021.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2020./2021. nakon dostave navedenih dokumenata u predviđenim rokovima iz točke X., XI. i XII. ove Odluke, što u NISpuSŠ-u potvrđuje srednja škola u kojoj učenik ostvaruje pravo upisa sukladno konačnoj ljestvici poretka. </w:t>
      </w:r>
      <w:r>
        <w:rPr>
          <w:rFonts w:ascii="Minion Pro Cond;serif" w:hAnsi="Minion Pro Cond;serif"/>
          <w:color w:val="231F20"/>
          <w:sz w:val="19"/>
        </w:rPr>
        <w:lastRenderedPageBreak/>
        <w:t>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(3) Učenik svoj upis potvrđuje vlastoručnim potpisom i potpisom roditelja/skrbnika na obrascu (upisnici) dostupnom na mrežnoj stranici NISpuSŠ-a (www.upisi.hr), koji je dužan donijeti osobno ili dostaviti elektroničkim putem u srednju školu u rokovima utvrđenim u točkama X., XI. i XII. ove Odluke.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(4) Nakon što učenik potvrdi svoj upis vlastoručnim potpisom i potpisom roditelja/skrbnika na obrascu (upisnici) i dostavi ga srednjoj školi, učenik je upisan u I. razred srednje škole u školskoj godini 2020./2021.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USTROJAVANJE RAZREDNIH ODJELA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XVIII.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(1) Upis učenika u I. razred srednje škole u školskoj godini 2020./2021. provodi se u skladu sa </w:t>
      </w:r>
      <w:r>
        <w:rPr>
          <w:rFonts w:ascii="Minion Pro" w:hAnsi="Minion Pro"/>
          <w:i/>
          <w:color w:val="231F20"/>
          <w:sz w:val="19"/>
        </w:rPr>
        <w:t>Strukturom.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(2) Škola može uz odobrenje ministrice znanosti i obrazovanja (u daljnjem tekstu: ministrica) u NISpuSŠ-u povećati broj upisnih mjesta utvrđenih u </w:t>
      </w:r>
      <w:r>
        <w:rPr>
          <w:rFonts w:ascii="Minion Pro" w:hAnsi="Minion Pro"/>
          <w:i/>
          <w:color w:val="231F20"/>
          <w:sz w:val="19"/>
        </w:rPr>
        <w:t>Strukturi </w:t>
      </w:r>
      <w:r>
        <w:rPr>
          <w:rFonts w:ascii="Minion Pro Cond;serif" w:hAnsi="Minion Pro Cond;serif"/>
          <w:color w:val="231F20"/>
          <w:sz w:val="19"/>
        </w:rPr>
        <w:t>najviše do 28 učenika u razrednome odjelu i to u slučaju ako učenik srednje škole ne položi popravni ispit te ponavlja I. razred (učenik ponavljač).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(3) Iznimno, škola može uz pisanu suglasnost ministrice povećati broj upisnih mjesta utvrđenih u </w:t>
      </w:r>
      <w:r>
        <w:rPr>
          <w:rFonts w:ascii="Minion Pro" w:hAnsi="Minion Pro"/>
          <w:i/>
          <w:color w:val="231F20"/>
          <w:sz w:val="19"/>
        </w:rPr>
        <w:t>Strukturi </w:t>
      </w:r>
      <w:r>
        <w:rPr>
          <w:rFonts w:ascii="Minion Pro Cond;serif" w:hAnsi="Minion Pro Cond;serif"/>
          <w:color w:val="231F20"/>
          <w:sz w:val="19"/>
        </w:rPr>
        <w:t>najviše do 30 učenika u razrednome odjelu isključivo u slučajevima: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ako učenik srednje škole ne položi popravni ispit u jesenskome roku te ponavlja I. razred,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ako je više učenika ostvarilo jednak broj bodova i nalaze se na istome mjestu konačne ljestvice poretka u razrednome odjelu, a njihovim bi upisom bio premašen ukupan broj od broja učenika odobrenih u tom razrednom odjelu u </w:t>
      </w:r>
      <w:r>
        <w:rPr>
          <w:rFonts w:ascii="Minion Pro" w:hAnsi="Minion Pro"/>
          <w:i/>
          <w:color w:val="231F20"/>
          <w:sz w:val="19"/>
        </w:rPr>
        <w:t>Strukturi,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ako škola integrira učenika glazbenog ili plesnog programa obrazovanja u nastavu općeobrazovnih predmeta pojedinoga razrednog odjela.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(4) U slučajevima iz stavka 3. ove točke srednja škola dužna je Ministarstvu dostaviti sljedeću dokumentaciju: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obrazloženje uza zahtjev za povećanje broja učenika u razrednome odjelu u odnosu na </w:t>
      </w:r>
      <w:r>
        <w:rPr>
          <w:rFonts w:ascii="Minion Pro" w:hAnsi="Minion Pro"/>
          <w:i/>
          <w:color w:val="231F20"/>
          <w:sz w:val="19"/>
        </w:rPr>
        <w:t>Strukturom </w:t>
      </w:r>
      <w:r>
        <w:rPr>
          <w:rFonts w:ascii="Minion Pro Cond;serif" w:hAnsi="Minion Pro Cond;serif"/>
          <w:color w:val="231F20"/>
          <w:sz w:val="19"/>
        </w:rPr>
        <w:t>utvrđeni broj učenika u razrednome odjelu,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podatke o svakom učeniku za kojega srednja škola podnosi zahtjev,</w:t>
      </w:r>
    </w:p>
    <w:p w:rsidR="00C2477F" w:rsidRDefault="00DA6E56">
      <w:pPr>
        <w:pStyle w:val="BodyText"/>
        <w:spacing w:after="0" w:line="252" w:lineRule="auto"/>
        <w:rPr>
          <w:rFonts w:hint="eastAsia"/>
          <w:color w:val="231F20"/>
        </w:rPr>
      </w:pPr>
      <w:r>
        <w:rPr>
          <w:color w:val="231F20"/>
        </w:rPr>
        <w:t xml:space="preserve">– </w:t>
      </w:r>
      <w:r>
        <w:rPr>
          <w:rFonts w:ascii="Minion Pro Cond;serif" w:hAnsi="Minion Pro Cond;serif"/>
          <w:color w:val="231F20"/>
          <w:sz w:val="19"/>
        </w:rPr>
        <w:t>dokaze iz kojih je vidljivo da učenik ostvaruje pravo upisa sukladno stavku 3. ove točke.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(5) U slučaju smanjenog interesa učenika za upis u pojedini program obrazovanja, škola može ustrojiti razredni odjel s manjim brojem učenika od utvrđenog u </w:t>
      </w:r>
      <w:r>
        <w:rPr>
          <w:rFonts w:ascii="Minion Pro" w:hAnsi="Minion Pro"/>
          <w:i/>
          <w:color w:val="231F20"/>
          <w:sz w:val="19"/>
        </w:rPr>
        <w:t>Strukturi </w:t>
      </w:r>
      <w:r>
        <w:rPr>
          <w:rFonts w:ascii="Minion Pro Cond;serif" w:hAnsi="Minion Pro Cond;serif"/>
          <w:color w:val="231F20"/>
          <w:sz w:val="19"/>
        </w:rPr>
        <w:t>uz uvjet da taj razredni odjel nema manje od 20 učenika.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(6) Škola može u kombiniranim razrednim odjelima odstupiti od </w:t>
      </w:r>
      <w:r>
        <w:rPr>
          <w:rFonts w:ascii="Minion Pro" w:hAnsi="Minion Pro"/>
          <w:i/>
          <w:color w:val="231F20"/>
          <w:sz w:val="19"/>
        </w:rPr>
        <w:t>Strukture, </w:t>
      </w:r>
      <w:r>
        <w:rPr>
          <w:rFonts w:ascii="Minion Pro Cond;serif" w:hAnsi="Minion Pro Cond;serif"/>
          <w:color w:val="231F20"/>
          <w:sz w:val="19"/>
        </w:rPr>
        <w:t>uz odobrenje ministrice u NISpuSŠ-u,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 </w:t>
      </w:r>
      <w:r>
        <w:rPr>
          <w:rFonts w:ascii="Minion Pro" w:hAnsi="Minion Pro"/>
          <w:i/>
          <w:color w:val="231F20"/>
          <w:sz w:val="19"/>
        </w:rPr>
        <w:t>Strukture </w:t>
      </w:r>
      <w:r>
        <w:rPr>
          <w:rFonts w:ascii="Minion Pro Cond;serif" w:hAnsi="Minion Pro Cond;serif"/>
          <w:color w:val="231F20"/>
          <w:sz w:val="19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(8) Škole koje izvode prilagođene i posebne programe za učenike s teškoćama u razvoju mogu odstupiti od </w:t>
      </w:r>
      <w:r>
        <w:rPr>
          <w:rFonts w:ascii="Minion Pro" w:hAnsi="Minion Pro"/>
          <w:i/>
          <w:color w:val="231F20"/>
          <w:sz w:val="19"/>
        </w:rPr>
        <w:t>Strukture, </w:t>
      </w:r>
      <w:r>
        <w:rPr>
          <w:rFonts w:ascii="Minion Pro Cond;serif" w:hAnsi="Minion Pro Cond;serif"/>
          <w:color w:val="231F20"/>
          <w:sz w:val="19"/>
        </w:rPr>
        <w:t>uz odobrenje ministrice u NISpuSŠ-u, i ustrojiti razredni odjel i s manjim brojem učenika.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(9) Prije objave konačne ljestvice poretka u oba upisna roka ministrica može u NISpuSŠ-u promijeniti strukturu i broj razrednih odjela te broj učenika u razrednome odjelu ovisno o broju učenika prijavljenih u pojedini razredni odjel obrazovnoga programa.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(10) Ustroj i broj razrednih odjela objavljen u NISpuSŠ-u smatra se konačnim brojem ustrojenih razrednih odjela te brojem upisanih učenika.</w:t>
      </w: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NAKNADE ZA POVEĆANE TROŠKOVE OBRAZOVANJA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XIX.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(1) Za pojedine programe obrazovanja mogu se utvrditi povećani troškovi obrazovanja.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(2) Odluku o iznosu participacije roditelja/skrbnika učenika te cijeni obrazovanja za svaku godinu obrazovanja donosi školski odbor, uz suglasnost osnivača školske ustanove, a objavljuje u natječaju za upis učenika u I. razred i NISpuSŠ-u.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NAKNADNI UPISNI ROK ZA UPIS UČENIKA NAKON ISTEKA JESENSKOGA UPISNOG ROKA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XX.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>
        <w:rPr>
          <w:rFonts w:ascii="Minion Pro" w:hAnsi="Minion Pro"/>
          <w:i/>
          <w:color w:val="231F20"/>
          <w:sz w:val="19"/>
        </w:rPr>
        <w:t>Strukturom, </w:t>
      </w:r>
      <w:r>
        <w:rPr>
          <w:rFonts w:ascii="Minion Pro Cond;serif" w:hAnsi="Minion Pro Cond;serif"/>
          <w:color w:val="231F20"/>
          <w:sz w:val="19"/>
        </w:rPr>
        <w:t>a utvrđenih u NISpuSŠ-u.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(2) Učenici iz stavka 1. ovog članka za prijavu moraju ispunjavati sve uvjete propisane Pravilnikom o elementima i kriterijima te natječajem škole.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(3) Učenici se za upis u naknadnome upisnom roku mogu prijaviti školi od 4. do 21. rujna 2020.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lastRenderedPageBreak/>
        <w:t>(4) Upisno povjerenstvo škole o upisu učenika u naknadnome upisnom roku odlučuje na temelju pisanoga zahtjeva učenika te podatke o upisu unosi u NISpuSŠ nakon zaprimljene potpisane upisnice učenika te ostale dokumentacije potrebne za upis.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(5) Nakon završetka naknadnoga upisnog roka Ministarstvo utvrđuje konačan broj ustrojenih razrednih odjela i broj upisanih učenika.</w:t>
      </w: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ZAVRŠNE ODREDBE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XXI.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O posebnostima upisa učenika u I. razred srednje škole koje nisu mogle biti predviđene odredbama ove Odluke odlučuje ministrica.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XXII.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Nadzor nad zakonitošću rada u provedbi ove Odluke obavlja Ministarstvo.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XXIII.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Ova Odluka stupa na snagu prvoga dana od dana objave u »Narodnim novinama«.</w:t>
      </w:r>
    </w:p>
    <w:p w:rsidR="00C2477F" w:rsidRDefault="00DA6E56">
      <w:pPr>
        <w:pStyle w:val="BodyText"/>
        <w:spacing w:after="0" w:line="252" w:lineRule="auto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Klasa: 602-03/20-06/00029</w:t>
      </w:r>
      <w:r>
        <w:rPr>
          <w:rFonts w:ascii="Minion Pro Cond;serif" w:hAnsi="Minion Pro Cond;serif"/>
          <w:color w:val="231F20"/>
          <w:sz w:val="19"/>
        </w:rPr>
        <w:br/>
        <w:t>Urbroj: 533-05-20-0006</w:t>
      </w:r>
      <w:r>
        <w:rPr>
          <w:rFonts w:ascii="Minion Pro Cond;serif" w:hAnsi="Minion Pro Cond;serif"/>
          <w:color w:val="231F20"/>
          <w:sz w:val="19"/>
        </w:rPr>
        <w:br/>
        <w:t>Zagreb, 22. svibnja 2020.</w:t>
      </w:r>
    </w:p>
    <w:p w:rsidR="00C2477F" w:rsidRDefault="00DA6E56">
      <w:pPr>
        <w:pStyle w:val="BodyText"/>
        <w:spacing w:after="0" w:line="252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Ministrica</w:t>
      </w:r>
      <w:r>
        <w:rPr>
          <w:rFonts w:ascii="Minion Pro Cond;serif" w:hAnsi="Minion Pro Cond;serif"/>
          <w:color w:val="231F20"/>
          <w:sz w:val="19"/>
        </w:rPr>
        <w:br/>
      </w:r>
      <w:r>
        <w:rPr>
          <w:rFonts w:ascii="Minion Pro" w:hAnsi="Minion Pro"/>
          <w:b/>
          <w:color w:val="231F20"/>
          <w:sz w:val="19"/>
        </w:rPr>
        <w:t>prof. dr. sc. Blaženka Divjak, </w:t>
      </w:r>
      <w:r>
        <w:rPr>
          <w:rFonts w:ascii="Minion Pro Cond;serif" w:hAnsi="Minion Pro Cond;serif"/>
          <w:color w:val="231F20"/>
          <w:sz w:val="19"/>
        </w:rPr>
        <w:t>v. r.</w:t>
      </w: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Struktura razrednih odjela i broja učenika I. razreda srednjih škola u školskoj godini 2020./2021.</w:t>
      </w:r>
    </w:p>
    <w:p w:rsidR="00C2477F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I. dio – srednje škole kojima je osnivač Republika Hrvatska, jedinice lokalne samouprave te jedinice područne (regionalne) samouprave</w:t>
      </w:r>
    </w:p>
    <w:p w:rsidR="00C2477F" w:rsidRDefault="00C2477F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</w:p>
    <w:tbl>
      <w:tblPr>
        <w:tblW w:w="9576" w:type="dxa"/>
        <w:tblInd w:w="6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8"/>
        <w:gridCol w:w="1260"/>
        <w:gridCol w:w="744"/>
        <w:gridCol w:w="912"/>
        <w:gridCol w:w="840"/>
        <w:gridCol w:w="732"/>
      </w:tblGrid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Naziv škole i obrazovnog programa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Šifra programa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Trajanje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Razredni odjeli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Oznaka za odjel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Učenici</w:t>
            </w:r>
          </w:p>
        </w:tc>
      </w:tr>
      <w:tr w:rsidR="00C2477F">
        <w:tc>
          <w:tcPr>
            <w:tcW w:w="5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XIV. Osječko-baranjska županija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Ekonomska i upravna škola Osijek (14-060-511)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Ekonomist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060724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72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Poslovni tajnik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060504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Upravni referent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060404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48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Ukupno Ekonomska i upravna škola Osijek (14-060-511)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6,00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144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Elektrotehnička i prometna škola Osijek (14-060-501)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Elektrotehničar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040104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Tehničar cestovnog prometa – novi strukovni kurikulum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140324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Tehničar za elektroniku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041424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Tehničar za mehatroniku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041524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Tehničar za računalstvo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041624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48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Vozač motornog vozila IG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141103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Ukupno Elektrotehnička i prometna škola Osijek (14-060-501)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7,00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168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Glazbena škola Franje Kuhača Osijek (14-060-520)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Glazbenik – pripremno obrazovanje 2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290002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20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Glazbenik – program srednje škole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X290004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26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Ukupno Glazbena škola Franje Kuhača Osijek (14-060-520)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2,00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46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Graditeljsko-geodetska škola Osijek (14-060-509)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Arhitektonski tehničar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131204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48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Građevinski tehničar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131104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Tehničar geodezije i geoinformatike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050624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Keramičar-oblagač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133633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0,42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10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Ličilac-soboslikar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260333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0,29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7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Zidar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133133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0,29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7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lastRenderedPageBreak/>
              <w:t>Ukupno Graditeljsko-geodetska škola Osijek (14-060-509)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120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I. gimnazija Osijek (14-060-503)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Opća gimnazija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320104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120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Opća gimnazija (odjel za sportaše)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320104-S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Ukupno I. gimnazija Osijek (14-060-503)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6,00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144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II. gimnazija Osijek (14-060-504)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Jezična gimnazija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320304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130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Ukupno II. gimnazija Osijek (14-060-504)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130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III. gimnazija Osijek (14-060-505)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Prirodoslovno-matematička gimnazija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320204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130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Ukupno III. gimnazija Osijek (14-060-505)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130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Medicinska škola Osijek (14-060-506)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Dentalna asistentica/asistent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241204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Farmaceutski tehničar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240404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Fizioterapeutski tehničar/fizioterapeutska tehničarka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240704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Medicinska sestra opće njege/medicinski tehničar opće njege 5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241004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72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Ukupno Medicinska škola Osijek (14-060-506)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6,00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144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Obrtnička škola Osijek (14-060-513)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Frizer – JMO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250353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40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Krojač – JMO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222153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20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Autolakirer – JMO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260553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0,33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8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Mesar – JMO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092453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0,33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8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Pekar – JMO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092153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0,33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8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Fotograf – JMO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260153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0,50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B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12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Stolar – JMO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121113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0,50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B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12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Pomoćni autolakirer – TES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268393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0,25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C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Pomoćni bravar – TES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018493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0,25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C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Pomoćni vodoinstalater – TES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018193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0,50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C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Pomoćni cvjećar – TES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088493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0,25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D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Pomoćni krojač – TES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228393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0,75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D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6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Pomoćni kuhar i slastičar – TES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078193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1,67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10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Pomoćni pekar – TES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098193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0,33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Ukupno Obrtnička škola Osijek (14-060-513)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9,00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136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Poljoprivredna i veterinarska škola Osijek (14-060-507)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Agrotehničar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330624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Veterinarski tehničar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100104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Poljoprivredni tehničar-fitofarmaceut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080504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0,50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12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Poljoprivredni tehničar-vrtlar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080304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0,50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12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Cvjećar IG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081403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0,33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B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8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Mehaničar poljoprivredne mehanizacije IG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011803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0,33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B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8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Vrtlar IG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081303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0,33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B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8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DA6E56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18"/>
                <w:szCs w:val="18"/>
              </w:rPr>
            </w:pPr>
            <w:r w:rsidRPr="00DA6E56">
              <w:rPr>
                <w:rFonts w:ascii="Minion Pro" w:hAnsi="Minion Pro"/>
                <w:b/>
                <w:color w:val="C9211E"/>
                <w:sz w:val="18"/>
                <w:szCs w:val="18"/>
              </w:rPr>
              <w:t>Ukupno Poljoprivredna i veterinarska škola Osijek (14-060-507)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4,00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96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Prosvjetno-kulturni centar Mađara u Republici Hrvatskoj Osijek (14-060-021)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lastRenderedPageBreak/>
              <w:t>Ekonomist (nastava na mađarskom jeziku)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060724-MM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7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Hotelijersko-turistički tehničar (nastava na mađarskom jeziku)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070104-MM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7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Kuhar (nastava na mađarskom jeziku)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071233-MM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7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Opća gimnazija (nastava na mađarskom jeziku)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320104-MM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7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Prodavač (nastava na mađarskom jeziku) IG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060923-MM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7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Strojarska tehnička škola Osijek (14-060-502)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Automehatroničar – JMO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331153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CNC operater/CNC operaterka DO DO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442703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Strojarski računalni tehničar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015324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Tehničar za energetiku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010404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Tehničar za vozila i vozna sredstva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011224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Autolimar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014033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0,25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6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Automehaničar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014233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0,50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12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Bravar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014133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0,25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6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Instalater grijanja i klimatizacije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013633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0,50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B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12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Plinoinstalater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013733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0,25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B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6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Vodoinstalater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013833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0,25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B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6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Ukupno Strojarska tehnička škola Osijek (14-060-502)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7,00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168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Škola primijenjene umjetnosti i dizajna Osijek (14-060-515)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Likovna umjetnost i dizajn do izbora zanimanja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300100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96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Ukupno Škola primijenjene umjetnosti i dizajna Osijek (14-060-515)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4,00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96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Tehnička škola i prirodoslovna gimnazija Ruđera Boškovića Osijek (14-060-510)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Ekološki tehničar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330724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Prirodoslovna gimnazija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320804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48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Tehničar nutricionist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090304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Web dizajner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211224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24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Ukupno Tehnička škola i prirodoslovna gimnazija Ruđera Boškovića Osijek (14-060-510)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120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Trgovačka i komercijalna škola Davor Milas Osijek (14-060-514)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Komercijalist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060304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40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Prodavač IG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060923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40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Prodavač DO DO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440923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20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Ukupno Trgovačka i komercijalna škola Davor Milas Osijek (14-060-514)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100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Ugostiteljsko-turistička škola Osijek (14-060-512)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Hotelijersko-turistički tehničar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070104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26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Konobar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071333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52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Kuhar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071233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78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Slastičar 3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092533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26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Turističko-hotelijerski komercijalist 4 g.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070204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2,00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color w:val="C9211E"/>
                <w:sz w:val="22"/>
                <w:szCs w:val="22"/>
              </w:rPr>
              <w:t>52</w:t>
            </w:r>
          </w:p>
        </w:tc>
      </w:tr>
      <w:tr w:rsidR="00C2477F"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DA6E56" w:rsidRDefault="00DA6E56">
            <w:pPr>
              <w:pStyle w:val="Sadrajitablice"/>
              <w:rPr>
                <w:rFonts w:ascii="Minion Pro" w:hAnsi="Minion Pro" w:hint="eastAsia"/>
                <w:b/>
                <w:color w:val="C9211E"/>
                <w:sz w:val="20"/>
                <w:szCs w:val="20"/>
              </w:rPr>
            </w:pPr>
            <w:r w:rsidRPr="00DA6E56">
              <w:rPr>
                <w:rFonts w:ascii="Minion Pro" w:hAnsi="Minion Pro"/>
                <w:b/>
                <w:color w:val="C9211E"/>
                <w:sz w:val="20"/>
                <w:szCs w:val="20"/>
              </w:rPr>
              <w:t>Ukupno Ugostiteljsko-turistička škola Osijek (14-060-512)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9,00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C2477F">
            <w:pPr>
              <w:pStyle w:val="Sadrajitablice"/>
              <w:rPr>
                <w:rFonts w:hint="eastAsia"/>
                <w:color w:val="C9211E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9211E"/>
                <w:sz w:val="22"/>
                <w:szCs w:val="22"/>
              </w:rPr>
            </w:pPr>
            <w:r>
              <w:rPr>
                <w:rFonts w:ascii="Minion Pro" w:hAnsi="Minion Pro"/>
                <w:b/>
                <w:color w:val="C9211E"/>
                <w:sz w:val="22"/>
                <w:szCs w:val="22"/>
              </w:rPr>
              <w:t>234</w:t>
            </w:r>
          </w:p>
        </w:tc>
      </w:tr>
    </w:tbl>
    <w:p w:rsidR="00C2477F" w:rsidRDefault="00C2477F">
      <w:pPr>
        <w:spacing w:line="249" w:lineRule="auto"/>
        <w:jc w:val="center"/>
        <w:rPr>
          <w:rFonts w:ascii="Minion Pro Cond;serif" w:hAnsi="Minion Pro Cond;serif" w:hint="eastAsia"/>
          <w:color w:val="231F20"/>
          <w:sz w:val="19"/>
        </w:rPr>
      </w:pPr>
    </w:p>
    <w:p w:rsidR="00C2477F" w:rsidRDefault="00C2477F">
      <w:pPr>
        <w:pStyle w:val="BodyText"/>
        <w:spacing w:after="0"/>
        <w:rPr>
          <w:rFonts w:hint="eastAsia"/>
        </w:rPr>
      </w:pPr>
    </w:p>
    <w:p w:rsidR="00C2477F" w:rsidRPr="00071C72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C45911" w:themeColor="accent2" w:themeShade="BF"/>
          <w:sz w:val="19"/>
        </w:rPr>
      </w:pPr>
      <w:r w:rsidRPr="00071C72">
        <w:rPr>
          <w:rFonts w:ascii="Minion Pro Cond;serif" w:hAnsi="Minion Pro Cond;serif"/>
          <w:color w:val="C45911" w:themeColor="accent2" w:themeShade="BF"/>
          <w:sz w:val="19"/>
        </w:rPr>
        <w:t>II. dio – škole čiji su osnivači vjerske zajednice</w:t>
      </w:r>
    </w:p>
    <w:tbl>
      <w:tblPr>
        <w:tblW w:w="963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167"/>
        <w:gridCol w:w="744"/>
        <w:gridCol w:w="965"/>
        <w:gridCol w:w="924"/>
        <w:gridCol w:w="738"/>
      </w:tblGrid>
      <w:tr w:rsidR="00071C72" w:rsidRPr="00071C72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Naziv škole i obrazovnog programa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Šifra programa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Trajanje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Razredni odjeli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Oznaka za odjel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Učenici</w:t>
            </w:r>
          </w:p>
        </w:tc>
      </w:tr>
      <w:tr w:rsidR="00071C72" w:rsidRPr="00071C72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XIV. Osječko-baranjska županija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</w:tr>
      <w:tr w:rsidR="00071C72" w:rsidRPr="00071C72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Isusovačka klasična gimnazija s pravom javnosti u Osijeku Osijek (14-060-521)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</w:tr>
      <w:tr w:rsidR="00071C72" w:rsidRPr="00071C72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color w:val="C45911" w:themeColor="accent2" w:themeShade="BF"/>
              </w:rPr>
            </w:pPr>
            <w:r w:rsidRPr="00071C72">
              <w:rPr>
                <w:rFonts w:ascii="Minion Pro" w:hAnsi="Minion Pro"/>
                <w:color w:val="C45911" w:themeColor="accent2" w:themeShade="BF"/>
              </w:rPr>
              <w:t>Klasična gimnazija 4 g.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color w:val="C45911" w:themeColor="accent2" w:themeShade="BF"/>
              </w:rPr>
            </w:pPr>
            <w:r w:rsidRPr="00071C72">
              <w:rPr>
                <w:rFonts w:ascii="Minion Pro" w:hAnsi="Minion Pro"/>
                <w:color w:val="C45911" w:themeColor="accent2" w:themeShade="BF"/>
              </w:rPr>
              <w:t>320404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color w:val="C45911" w:themeColor="accent2" w:themeShade="BF"/>
              </w:rPr>
            </w:pPr>
            <w:r w:rsidRPr="00071C72">
              <w:rPr>
                <w:rFonts w:ascii="Minion Pro" w:hAnsi="Minion Pro"/>
                <w:color w:val="C45911" w:themeColor="accent2" w:themeShade="BF"/>
              </w:rPr>
              <w:t>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color w:val="C45911" w:themeColor="accent2" w:themeShade="BF"/>
              </w:rPr>
            </w:pPr>
            <w:r w:rsidRPr="00071C72">
              <w:rPr>
                <w:rFonts w:ascii="Minion Pro" w:hAnsi="Minion Pro"/>
                <w:color w:val="C45911" w:themeColor="accent2" w:themeShade="BF"/>
              </w:rPr>
              <w:t>3,00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color w:val="C45911" w:themeColor="accent2" w:themeShade="BF"/>
              </w:rPr>
            </w:pPr>
            <w:r w:rsidRPr="00071C72">
              <w:rPr>
                <w:rFonts w:ascii="Minion Pro" w:hAnsi="Minion Pro"/>
                <w:color w:val="C45911" w:themeColor="accent2" w:themeShade="BF"/>
              </w:rPr>
              <w:t>72</w:t>
            </w:r>
          </w:p>
        </w:tc>
      </w:tr>
      <w:tr w:rsidR="00071C72" w:rsidRPr="00071C72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Ukupno Isusovačka klasična gimnazija s pravom javnosti u Osijeku Osijek (14-060-521)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3,00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72</w:t>
            </w:r>
          </w:p>
        </w:tc>
      </w:tr>
      <w:tr w:rsidR="00071C72" w:rsidRPr="00071C72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Ukupno XIV. Osječko-baranjska županija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3,00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72</w:t>
            </w:r>
          </w:p>
        </w:tc>
      </w:tr>
    </w:tbl>
    <w:p w:rsidR="00C2477F" w:rsidRDefault="00C2477F">
      <w:pPr>
        <w:pStyle w:val="BodyText"/>
        <w:spacing w:after="0"/>
        <w:rPr>
          <w:rFonts w:hint="eastAsia"/>
        </w:rPr>
      </w:pPr>
    </w:p>
    <w:p w:rsidR="00C2477F" w:rsidRDefault="00C2477F">
      <w:pPr>
        <w:pStyle w:val="BodyText"/>
        <w:spacing w:after="0"/>
        <w:rPr>
          <w:rFonts w:hint="eastAsia"/>
        </w:rPr>
      </w:pPr>
    </w:p>
    <w:p w:rsidR="00C2477F" w:rsidRPr="00071C72" w:rsidRDefault="00DA6E56">
      <w:pPr>
        <w:pStyle w:val="BodyText"/>
        <w:spacing w:after="0" w:line="249" w:lineRule="auto"/>
        <w:jc w:val="center"/>
        <w:rPr>
          <w:rFonts w:ascii="Minion Pro Cond;serif" w:hAnsi="Minion Pro Cond;serif" w:hint="eastAsia"/>
          <w:color w:val="C45911" w:themeColor="accent2" w:themeShade="BF"/>
          <w:sz w:val="19"/>
        </w:rPr>
      </w:pPr>
      <w:r w:rsidRPr="00071C72">
        <w:rPr>
          <w:rFonts w:ascii="Minion Pro Cond;serif" w:hAnsi="Minion Pro Cond;serif"/>
          <w:color w:val="C45911" w:themeColor="accent2" w:themeShade="BF"/>
          <w:sz w:val="19"/>
        </w:rPr>
        <w:t>III. dio – privatne škole</w:t>
      </w:r>
    </w:p>
    <w:tbl>
      <w:tblPr>
        <w:tblW w:w="963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6"/>
        <w:gridCol w:w="1212"/>
        <w:gridCol w:w="744"/>
        <w:gridCol w:w="935"/>
        <w:gridCol w:w="883"/>
        <w:gridCol w:w="738"/>
      </w:tblGrid>
      <w:tr w:rsidR="00071C72" w:rsidRPr="00071C72"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Naziv škole i obrazovnog programa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Šifra programa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Trajanje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Razredni odjeli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Oznaka za odjel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jc w:val="center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Učenici</w:t>
            </w:r>
          </w:p>
        </w:tc>
      </w:tr>
      <w:tr w:rsidR="00071C72" w:rsidRPr="00071C72"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XIV. Osječko-baranjska županija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</w:tr>
      <w:tr w:rsidR="00071C72" w:rsidRPr="00071C72"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Gaudeamus, prva privatna srednja škola u Osijeku s pravom javnosti Osijek (14-060-522)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</w:tr>
      <w:tr w:rsidR="00071C72" w:rsidRPr="00071C72"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color w:val="C45911" w:themeColor="accent2" w:themeShade="BF"/>
              </w:rPr>
            </w:pPr>
            <w:r w:rsidRPr="00071C72">
              <w:rPr>
                <w:rFonts w:ascii="Minion Pro" w:hAnsi="Minion Pro"/>
                <w:color w:val="C45911" w:themeColor="accent2" w:themeShade="BF"/>
              </w:rPr>
              <w:t>Ekonomist 4 g.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color w:val="C45911" w:themeColor="accent2" w:themeShade="BF"/>
              </w:rPr>
            </w:pPr>
            <w:r w:rsidRPr="00071C72">
              <w:rPr>
                <w:rFonts w:ascii="Minion Pro" w:hAnsi="Minion Pro"/>
                <w:color w:val="C45911" w:themeColor="accent2" w:themeShade="BF"/>
              </w:rPr>
              <w:t>060604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color w:val="C45911" w:themeColor="accent2" w:themeShade="BF"/>
              </w:rPr>
            </w:pPr>
            <w:r w:rsidRPr="00071C72">
              <w:rPr>
                <w:rFonts w:ascii="Minion Pro" w:hAnsi="Minion Pro"/>
                <w:color w:val="C45911" w:themeColor="accent2" w:themeShade="BF"/>
              </w:rPr>
              <w:t>4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color w:val="C45911" w:themeColor="accent2" w:themeShade="BF"/>
              </w:rPr>
            </w:pPr>
            <w:r w:rsidRPr="00071C72">
              <w:rPr>
                <w:rFonts w:ascii="Minion Pro" w:hAnsi="Minion Pro"/>
                <w:color w:val="C45911" w:themeColor="accent2" w:themeShade="BF"/>
              </w:rPr>
              <w:t>1,00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color w:val="C45911" w:themeColor="accent2" w:themeShade="BF"/>
              </w:rPr>
            </w:pPr>
            <w:r w:rsidRPr="00071C72">
              <w:rPr>
                <w:rFonts w:ascii="Minion Pro" w:hAnsi="Minion Pro"/>
                <w:color w:val="C45911" w:themeColor="accent2" w:themeShade="BF"/>
              </w:rPr>
              <w:t>26</w:t>
            </w:r>
          </w:p>
        </w:tc>
      </w:tr>
      <w:tr w:rsidR="00071C72" w:rsidRPr="00071C72"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color w:val="C45911" w:themeColor="accent2" w:themeShade="BF"/>
              </w:rPr>
            </w:pPr>
            <w:r w:rsidRPr="00071C72">
              <w:rPr>
                <w:rFonts w:ascii="Minion Pro" w:hAnsi="Minion Pro"/>
                <w:color w:val="C45911" w:themeColor="accent2" w:themeShade="BF"/>
              </w:rPr>
              <w:t>Opća gimnazija 4 g.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color w:val="C45911" w:themeColor="accent2" w:themeShade="BF"/>
              </w:rPr>
            </w:pPr>
            <w:r w:rsidRPr="00071C72">
              <w:rPr>
                <w:rFonts w:ascii="Minion Pro" w:hAnsi="Minion Pro"/>
                <w:color w:val="C45911" w:themeColor="accent2" w:themeShade="BF"/>
              </w:rPr>
              <w:t>320104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color w:val="C45911" w:themeColor="accent2" w:themeShade="BF"/>
              </w:rPr>
            </w:pPr>
            <w:r w:rsidRPr="00071C72">
              <w:rPr>
                <w:rFonts w:ascii="Minion Pro" w:hAnsi="Minion Pro"/>
                <w:color w:val="C45911" w:themeColor="accent2" w:themeShade="BF"/>
              </w:rPr>
              <w:t>4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color w:val="C45911" w:themeColor="accent2" w:themeShade="BF"/>
              </w:rPr>
            </w:pPr>
            <w:r w:rsidRPr="00071C72">
              <w:rPr>
                <w:rFonts w:ascii="Minion Pro" w:hAnsi="Minion Pro"/>
                <w:color w:val="C45911" w:themeColor="accent2" w:themeShade="BF"/>
              </w:rPr>
              <w:t>1,00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color w:val="C45911" w:themeColor="accent2" w:themeShade="BF"/>
              </w:rPr>
            </w:pPr>
            <w:r w:rsidRPr="00071C72">
              <w:rPr>
                <w:rFonts w:ascii="Minion Pro" w:hAnsi="Minion Pro"/>
                <w:color w:val="C45911" w:themeColor="accent2" w:themeShade="BF"/>
              </w:rPr>
              <w:t>28</w:t>
            </w:r>
          </w:p>
        </w:tc>
      </w:tr>
      <w:tr w:rsidR="00071C72" w:rsidRPr="00071C72"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Ukupno Gaudeamus, prva privatna srednja škola u Osijeku s pravom javnosti Osijek (14-060-522)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2,00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54</w:t>
            </w:r>
          </w:p>
        </w:tc>
      </w:tr>
      <w:tr w:rsidR="00071C72" w:rsidRPr="00071C72"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Ukupno XIV. Osječko-baranjska županija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2,00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C2477F">
            <w:pPr>
              <w:pStyle w:val="Sadrajitablice"/>
              <w:rPr>
                <w:rFonts w:hint="eastAsia"/>
                <w:color w:val="C45911" w:themeColor="accent2" w:themeShade="BF"/>
                <w:sz w:val="4"/>
                <w:szCs w:val="4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477F" w:rsidRPr="00071C72" w:rsidRDefault="00DA6E56">
            <w:pPr>
              <w:pStyle w:val="Sadrajitablice"/>
              <w:rPr>
                <w:rFonts w:ascii="Minion Pro" w:hAnsi="Minion Pro" w:hint="eastAsia"/>
                <w:b/>
                <w:color w:val="C45911" w:themeColor="accent2" w:themeShade="BF"/>
                <w:sz w:val="14"/>
              </w:rPr>
            </w:pPr>
            <w:r w:rsidRPr="00071C72">
              <w:rPr>
                <w:rFonts w:ascii="Minion Pro" w:hAnsi="Minion Pro"/>
                <w:b/>
                <w:color w:val="C45911" w:themeColor="accent2" w:themeShade="BF"/>
                <w:sz w:val="14"/>
              </w:rPr>
              <w:t>54</w:t>
            </w:r>
          </w:p>
        </w:tc>
      </w:tr>
    </w:tbl>
    <w:p w:rsidR="00C2477F" w:rsidRDefault="00C2477F">
      <w:pPr>
        <w:pStyle w:val="BodyText"/>
        <w:spacing w:after="0"/>
        <w:rPr>
          <w:rFonts w:hint="eastAsia"/>
        </w:rPr>
      </w:pPr>
    </w:p>
    <w:p w:rsidR="00C2477F" w:rsidRDefault="00C2477F">
      <w:pPr>
        <w:pStyle w:val="BodyText"/>
        <w:spacing w:after="0"/>
        <w:rPr>
          <w:rFonts w:hint="eastAsia"/>
        </w:rPr>
      </w:pPr>
      <w:bookmarkStart w:id="0" w:name="_GoBack"/>
      <w:bookmarkEnd w:id="0"/>
    </w:p>
    <w:p w:rsidR="00C2477F" w:rsidRDefault="00DA6E56">
      <w:pPr>
        <w:pStyle w:val="BodyText"/>
        <w:rPr>
          <w:rFonts w:hint="eastAsia"/>
        </w:rPr>
      </w:pPr>
      <w:r>
        <w:br/>
      </w:r>
    </w:p>
    <w:p w:rsidR="00C2477F" w:rsidRDefault="00C2477F">
      <w:pPr>
        <w:rPr>
          <w:rFonts w:hint="eastAsia"/>
        </w:rPr>
      </w:pPr>
    </w:p>
    <w:sectPr w:rsidR="00C2477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 Pro Disp;serif">
    <w:altName w:val="Times New Roman"/>
    <w:panose1 w:val="00000000000000000000"/>
    <w:charset w:val="00"/>
    <w:family w:val="roman"/>
    <w:notTrueType/>
    <w:pitch w:val="default"/>
  </w:font>
  <w:font w:name="Minion Pro Cond;serif">
    <w:altName w:val="Times New Roman"/>
    <w:panose1 w:val="00000000000000000000"/>
    <w:charset w:val="00"/>
    <w:family w:val="roman"/>
    <w:notTrueType/>
    <w:pitch w:val="default"/>
  </w:font>
  <w:font w:name="Minion Pro Cond Disp;serif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7F"/>
    <w:rsid w:val="00071C72"/>
    <w:rsid w:val="00C2477F"/>
    <w:rsid w:val="00D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6AA20-1AEB-4A77-9FC2-194987E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5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5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4984</Words>
  <Characters>28412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cp:lastPrinted>2020-05-29T07:04:00Z</cp:lastPrinted>
  <dcterms:created xsi:type="dcterms:W3CDTF">2020-05-29T07:16:00Z</dcterms:created>
  <dcterms:modified xsi:type="dcterms:W3CDTF">2020-05-29T07:16:00Z</dcterms:modified>
  <dc:language>hr-HR</dc:language>
</cp:coreProperties>
</file>