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373d02a8bf2441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9546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VIŠNJEVAC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574.116,23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622.777,75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540.743,76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630.353,36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7.575,61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8.468,61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10.144,33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Višnjevac završila je prvi kvratal s manjkom prihoda od 10.144,33 eura i prenesnim manjkom iz 2025. godine u iznosu od 113.269,44 eura. Ovako veliki manjak je metodološki manjak koji dolazi zbog knjiženja računa i plaća za zaposlene na trošak dok se prihodi priznaju u slijedećem izvještajnom razdoblju.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24.800,80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Smanjenje prihoda zbog nepodmirenih računa za produženi boravak od strane roditelja učenika.</w:t>
      </w:r>
    </w:p>
    <w:p>
      <w:r>
        <w:t xml:space="preserve">I smanjena sredstva školske zadruge Višnja.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w:t>
            </w:r>
          </w:p>
        </w:tc>
      </w:tr>
    </w:tbl>
    <w:p>
      <w:pPr>
        <w:spacing w:before="0" w:after="0"/>
      </w:pPr>
    </w:p>
    <w:p>
      <w:r>
        <w:t xml:space="preserve">Naplata prihoda je kontrolirana i računi su podmireni na vrijeme.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181,7</w:t>
            </w:r>
          </w:p>
        </w:tc>
      </w:tr>
    </w:tbl>
    <w:p>
      <w:pPr>
        <w:spacing w:before="0" w:after="0"/>
      </w:pPr>
    </w:p>
    <w:p>
      <w:r>
        <w:t xml:space="preserve">Povećane su donacije zbog sudjelovanja učenika na matematičkom natjecanju Klokan, gdje su roditelji učenika donirali po 4,00 eura za plaćanje kotizacije za sudjelovanje.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w:t>
            </w:r>
          </w:p>
        </w:tc>
      </w:tr>
    </w:tbl>
    <w:p>
      <w:pPr>
        <w:spacing w:before="0" w:after="0"/>
      </w:pPr>
    </w:p>
    <w:p>
      <w:r>
        <w:t xml:space="preserve">U odnosu na prethodnu godinu, u prvom kvartalu, nisu utrošena sva sredstva namijenjena za opremanje škole.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w:t>
            </w:r>
          </w:p>
        </w:tc>
      </w:tr>
    </w:tbl>
    <w:p>
      <w:pPr>
        <w:spacing w:before="0" w:after="0"/>
      </w:pPr>
    </w:p>
    <w:p>
      <w:r>
        <w:t xml:space="preserve">Plaće za prekovremeni rad povezane su velikim dijelom i s Erasmus projektima, jer trajanje stručnog usavršavanja učitelja traje pet radnih dana te je potrebno organizirati zamjenu za odsutne učitelje.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w:t>
            </w:r>
          </w:p>
        </w:tc>
      </w:tr>
    </w:tbl>
    <w:p>
      <w:pPr>
        <w:spacing w:before="0" w:after="0"/>
      </w:pPr>
    </w:p>
    <w:p>
      <w:r>
        <w:t xml:space="preserve">U usporedbi sa proteklom godinom veliko je smanjenje rashoda po službenim putovanjima, do ovako velike razlike dolazi zbog Erasmus projekata jer se sredstva namijenjena za usavršavanje zaposlenika temeljem ugovora knjiže na konto stručna usavršavanja, a ne kao protekle godine na dnevnice.</w:t>
      </w:r>
    </w:p>
    <w:p>
      <w:r>
        <w:t xml:space="preserv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Veliko povećanje odnosi se na Erasmus projekte, isplate temeljem ugovora za stručno usavršavanje.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w:t>
            </w:r>
          </w:p>
        </w:tc>
      </w:tr>
    </w:tbl>
    <w:p>
      <w:pPr>
        <w:spacing w:before="0" w:after="0"/>
      </w:pPr>
    </w:p>
    <w:p>
      <w:r>
        <w:t xml:space="preserve">Povećanje usluga tekućeg i investicijskog zbog popravka stroja za čišćenje u iznosu od 666,25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330,7</w:t>
            </w:r>
          </w:p>
        </w:tc>
      </w:tr>
    </w:tbl>
    <w:p>
      <w:pPr>
        <w:spacing w:before="0" w:after="0"/>
      </w:pPr>
    </w:p>
    <w:p>
      <w:r>
        <w:t xml:space="preserve">Isplata naknada temeljem ugovora o djelu za natjecanje iz Engleskog jezika izvršena je u prvom kvartalu.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159.783,84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2355,5</w:t>
            </w:r>
          </w:p>
        </w:tc>
      </w:tr>
    </w:tbl>
    <w:p>
      <w:pPr>
        <w:spacing w:before="0" w:after="0"/>
      </w:pPr>
    </w:p>
    <w:p>
      <w:r>
        <w:t xml:space="preserve">Knjiženje plaće za zaposlene za ožujak koje se financiraju od strane MZOS.</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Prodaja dotrajale imovine, nakon inventure i odluke ravnatelja ispostavljeni su računi koji su i naplaćeni.</w:t>
      </w:r>
    </w:p>
    <w:p/>
    <w:p>
      <w:pPr>
        <w:jc w:val="center"/>
        <w:pStyle w:val="Normal"/>
        <w:spacing w:line="240" w:lineRule="auto"/>
        <w:keepNext/>
      </w:pPr>
      <w:r>
        <w:rPr>
          <w:sz w:val="28"/>
          <w:rFonts w:ascii="Times New Roman" w:hAnsi="Times New Roman"/>
        </w:rPr>
        <w:t xml:space="preserve">Bilješka 13.</w:t>
      </w:r>
    </w:p>
    <w:p>
      <w:pPr>
        <w:jc w:val="both"/>
        <w:pStyle w:val="Normal"/>
        <w:spacing w:line="240" w:lineRule="auto"/>
      </w:pPr>
      <w:r>
        <w:rPr>
          <w:b/>
          <w:sz w:val="24"/>
          <w:rFonts w:ascii="Times New Roman" w:hAnsi="Times New Roman"/>
        </w:rPr>
        <w:t xml:space="preserve">EU izvještaj</w:t>
      </w:r>
    </w:p>
    <w:p>
      <w:r>
        <w:t xml:space="preserve">U odnosu na prethodnu godinu utrošena sredstva u prvom kvartalu su na gotovo istoj razini.</w:t>
      </w:r>
    </w:p>
    <w:p>
      <w:r>
        <w:t xml:space="preserve">Rashodi se odnose najviše na naknade zaposlenima (sl. putovanja ili stručna usavršavanja), te manjim dijelom na troškove reprezentacije, materijalne troškove i usluge prijevoza. Sve isplate zaposlenima vrše se na temelju ugovora.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6bd0f47adee4af0" /></Relationships>
</file>