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1"/>
        <w:rPr>
          <w:lang w:val="hr-HR"/>
        </w:rPr>
      </w:pPr>
      <w:r>
        <w:t>REPUBLIKA</w:t>
      </w:r>
      <w:r>
        <w:rPr>
          <w:lang w:val="hr-HR"/>
        </w:rPr>
        <w:t xml:space="preserve"> </w:t>
      </w:r>
      <w:r>
        <w:t>HRVATSKA</w:t>
      </w:r>
    </w:p>
    <w:p>
      <w:pPr>
        <w:spacing w:lineRule="auto" w:line="240" w:beforeAutospacing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ŽUPANIJA OSJEČKO-BARANJSKA</w:t>
      </w:r>
    </w:p>
    <w:p>
      <w:pPr>
        <w:spacing w:lineRule="auto" w:line="240" w:beforeAutospacing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OSNOVNA ŠKOLA VIŠNJEVAC</w:t>
      </w:r>
    </w:p>
    <w:p>
      <w:pPr>
        <w:spacing w:lineRule="auto" w:line="240" w:after="0" w:beforeAutospacing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31 220 Višnjevac, Crni put 41</w:t>
      </w:r>
    </w:p>
    <w:p>
      <w:pPr>
        <w:spacing w:lineRule="auto" w:line="240" w:after="0" w:beforeAutospacing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Klasa: </w:t>
      </w:r>
    </w:p>
    <w:p>
      <w:pPr>
        <w:spacing w:lineRule="auto" w:line="240" w:after="0" w:beforeAutospacing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Ur.br. </w:t>
      </w:r>
    </w:p>
    <w:p>
      <w:pPr>
        <w:spacing w:lineRule="auto" w:line="240" w:after="0" w:beforeAutospacing="0" w:afterAutospacing="0"/>
        <w:rPr>
          <w:rFonts w:ascii="Times New Roman" w:hAnsi="Times New Roman" w:cs="Times New Roman"/>
          <w:sz w:val="24"/>
          <w:lang w:val="nl-NL"/>
        </w:rPr>
      </w:pPr>
      <w:r>
        <w:rPr>
          <w:rFonts w:ascii="Times New Roman" w:hAnsi="Times New Roman" w:cs="Times New Roman"/>
          <w:sz w:val="24"/>
          <w:lang w:val="nl-NL"/>
        </w:rPr>
        <w:t>U Višnjevcu, 2</w:t>
      </w:r>
      <w:r>
        <w:rPr>
          <w:rFonts w:ascii="Times New Roman" w:hAnsi="Times New Roman" w:cs="Times New Roman"/>
          <w:sz w:val="24"/>
          <w:rtl w:val="0"/>
          <w:lang w:val="hr-HR" w:bidi="hr-HR" w:eastAsia="hr-HR"/>
        </w:rPr>
        <w:t>9</w:t>
      </w:r>
      <w:r>
        <w:rPr>
          <w:rFonts w:ascii="Times New Roman" w:hAnsi="Times New Roman" w:cs="Times New Roman"/>
          <w:sz w:val="24"/>
          <w:lang w:val="nl-NL"/>
        </w:rPr>
        <w:t>. rujna 202</w:t>
      </w:r>
      <w:r>
        <w:rPr>
          <w:rFonts w:ascii="Times New Roman" w:hAnsi="Times New Roman" w:cs="Times New Roman"/>
          <w:sz w:val="24"/>
          <w:rtl w:val="0"/>
          <w:lang w:val="hr-HR" w:bidi="hr-HR" w:eastAsia="hr-HR"/>
        </w:rPr>
        <w:t>6</w:t>
      </w:r>
      <w:r>
        <w:rPr>
          <w:rFonts w:ascii="Times New Roman" w:hAnsi="Times New Roman" w:cs="Times New Roman"/>
          <w:sz w:val="24"/>
          <w:lang w:val="nl-NL"/>
        </w:rPr>
        <w:t>. godine</w:t>
      </w:r>
    </w:p>
    <w:p>
      <w:pPr>
        <w:tabs>
          <w:tab w:val="left" w:pos="2955" w:leader="none"/>
        </w:tabs>
        <w:spacing w:lineRule="auto" w:line="240" w:after="0" w:beforeAutospacing="0" w:afterAutospacing="0"/>
        <w:rPr>
          <w:rFonts w:ascii="Times New Roman" w:hAnsi="Times New Roman" w:cs="Times New Roman"/>
          <w:lang w:val="nl-NL"/>
        </w:rPr>
      </w:pPr>
      <w:r>
        <w:rPr>
          <w:rFonts w:ascii="Times New Roman" w:hAnsi="Times New Roman" w:cs="Times New Roman"/>
          <w:sz w:val="24"/>
        </w:rPr>
        <w:tab/>
      </w:r>
    </w:p>
    <w:p>
      <w:pPr>
        <w:spacing w:lineRule="auto" w:line="240" w:beforeAutospacing="0" w:afterAutospacing="0"/>
        <w:jc w:val="center"/>
        <w:rPr>
          <w:rFonts w:ascii="Times New Roman" w:hAnsi="Times New Roman" w:cs="Times New Roman"/>
          <w:sz w:val="32"/>
          <w:lang w:val="nl-NL"/>
        </w:rPr>
      </w:pPr>
      <w:r>
        <w:rPr>
          <w:rFonts w:ascii="Times New Roman" w:hAnsi="Times New Roman" w:cs="Times New Roman"/>
          <w:b w:val="1"/>
          <w:sz w:val="40"/>
          <w:lang w:val="nl-NL"/>
        </w:rPr>
        <w:t>P O Z I V</w:t>
      </w:r>
    </w:p>
    <w:p>
      <w:pPr>
        <w:spacing w:lineRule="auto" w:line="240" w:beforeAutospacing="0" w:afterAutospacing="0"/>
        <w:rPr>
          <w:rFonts w:ascii="Times New Roman" w:hAnsi="Times New Roman" w:cs="Times New Roman"/>
          <w:sz w:val="20"/>
          <w:lang w:val="nl-NL"/>
        </w:rPr>
      </w:pPr>
      <w:r>
        <w:rPr>
          <w:rFonts w:ascii="Times New Roman" w:hAnsi="Times New Roman" w:cs="Times New Roman"/>
          <w:lang w:val="nl-NL"/>
        </w:rPr>
        <w:t xml:space="preserve">                                                                               za             </w:t>
      </w:r>
    </w:p>
    <w:p>
      <w:pPr>
        <w:spacing w:lineRule="auto" w:line="240" w:after="0" w:beforeAutospacing="0" w:afterAutospacing="0"/>
        <w:rPr>
          <w:rFonts w:ascii="Times New Roman" w:hAnsi="Times New Roman" w:cs="Times New Roman"/>
          <w:lang w:val="nl-NL"/>
        </w:rPr>
      </w:pPr>
      <w:r>
        <w:rPr>
          <w:rFonts w:ascii="Times New Roman" w:hAnsi="Times New Roman" w:cs="Times New Roman"/>
          <w:lang w:val="nl-NL"/>
        </w:rPr>
        <w:t xml:space="preserve">        </w:t>
      </w:r>
    </w:p>
    <w:p>
      <w:pPr>
        <w:spacing w:lineRule="auto" w:line="240" w:after="0" w:beforeAutospacing="0" w:afterAutospacing="0"/>
        <w:rPr>
          <w:rFonts w:ascii="Times New Roman" w:hAnsi="Times New Roman" w:cs="Times New Roman"/>
          <w:lang w:val="nl-NL"/>
        </w:rPr>
      </w:pPr>
      <w:r>
        <w:rPr>
          <w:rFonts w:ascii="Times New Roman" w:hAnsi="Times New Roman" w:cs="Times New Roman"/>
          <w:lang w:val="nl-NL"/>
        </w:rPr>
        <w:t xml:space="preserve">                                                                                        __________________________________                          </w:t>
      </w:r>
    </w:p>
    <w:p>
      <w:pPr>
        <w:spacing w:lineRule="auto" w:line="240" w:after="0" w:beforeAutospacing="0" w:afterAutospacing="0"/>
        <w:rPr>
          <w:rFonts w:ascii="Times New Roman" w:hAnsi="Times New Roman" w:cs="Times New Roman"/>
          <w:lang w:val="nl-NL"/>
        </w:rPr>
      </w:pPr>
    </w:p>
    <w:p>
      <w:pPr>
        <w:spacing w:lineRule="auto" w:line="240" w:beforeAutospacing="0" w:afterAutospacing="0"/>
        <w:rPr>
          <w:rFonts w:ascii="Times New Roman" w:hAnsi="Times New Roman" w:cs="Times New Roman"/>
          <w:i w:val="1"/>
          <w:color w:val="FF0000"/>
          <w:sz w:val="24"/>
          <w:lang w:val="nl-NL"/>
        </w:rPr>
      </w:pPr>
      <w:r>
        <w:rPr>
          <w:rFonts w:ascii="Times New Roman" w:hAnsi="Times New Roman" w:cs="Times New Roman"/>
          <w:sz w:val="24"/>
          <w:lang w:val="nl-NL"/>
        </w:rPr>
        <w:t xml:space="preserve">Predmet: </w:t>
      </w:r>
      <w:r>
        <w:rPr>
          <w:rFonts w:ascii="Times New Roman" w:hAnsi="Times New Roman" w:cs="Times New Roman"/>
          <w:i w:val="1"/>
          <w:sz w:val="24"/>
          <w:lang w:val="nl-NL"/>
        </w:rPr>
        <w:t>Priopćenje o 5</w:t>
      </w:r>
      <w:r>
        <w:rPr>
          <w:rFonts w:ascii="Times New Roman" w:hAnsi="Times New Roman" w:cs="Times New Roman"/>
          <w:i w:val="1"/>
          <w:sz w:val="24"/>
          <w:rtl w:val="0"/>
          <w:lang w:val="hr-HR" w:bidi="hr-HR" w:eastAsia="hr-HR"/>
        </w:rPr>
        <w:t>2</w:t>
      </w:r>
      <w:r>
        <w:rPr>
          <w:rFonts w:ascii="Times New Roman" w:hAnsi="Times New Roman" w:cs="Times New Roman"/>
          <w:i w:val="1"/>
          <w:sz w:val="24"/>
          <w:lang w:val="nl-NL"/>
        </w:rPr>
        <w:t xml:space="preserve"> sjednici</w:t>
      </w:r>
      <w:r>
        <w:rPr>
          <w:rFonts w:ascii="Times New Roman" w:hAnsi="Times New Roman" w:cs="Times New Roman"/>
          <w:i w:val="1"/>
          <w:color w:val="FF0000"/>
          <w:sz w:val="24"/>
          <w:lang w:val="nl-NL"/>
        </w:rPr>
        <w:t xml:space="preserve"> </w:t>
      </w:r>
    </w:p>
    <w:p>
      <w:pPr>
        <w:spacing w:lineRule="auto" w:line="240" w:beforeAutospacing="0" w:afterAutospacing="0"/>
        <w:rPr>
          <w:rFonts w:ascii="Times New Roman" w:hAnsi="Times New Roman" w:cs="Times New Roman"/>
          <w:i w:val="1"/>
          <w:sz w:val="24"/>
          <w:lang w:val="nl-NL"/>
        </w:rPr>
      </w:pPr>
      <w:r>
        <w:rPr>
          <w:rFonts w:ascii="Times New Roman" w:hAnsi="Times New Roman" w:cs="Times New Roman"/>
          <w:i w:val="1"/>
          <w:sz w:val="24"/>
          <w:lang w:val="nl-NL"/>
        </w:rPr>
        <w:t xml:space="preserve">               VIJEĆA RODITELJA</w:t>
      </w:r>
    </w:p>
    <w:p>
      <w:pPr>
        <w:spacing w:lineRule="auto" w:line="240" w:beforeAutospacing="0" w:afterAutospacing="0"/>
        <w:jc w:val="both"/>
        <w:rPr>
          <w:rFonts w:ascii="Times New Roman" w:hAnsi="Times New Roman" w:cs="Times New Roman"/>
          <w:color w:val="FF0000"/>
          <w:sz w:val="24"/>
          <w:lang w:val="nl-NL"/>
        </w:rPr>
      </w:pPr>
      <w:r>
        <w:rPr>
          <w:rFonts w:ascii="Times New Roman" w:hAnsi="Times New Roman" w:cs="Times New Roman"/>
          <w:i w:val="1"/>
          <w:sz w:val="24"/>
          <w:lang w:val="nl-NL"/>
        </w:rPr>
        <w:t xml:space="preserve">              </w:t>
      </w:r>
      <w:r>
        <w:rPr>
          <w:rFonts w:ascii="Times New Roman" w:hAnsi="Times New Roman" w:cs="Times New Roman"/>
          <w:sz w:val="24"/>
          <w:lang w:val="nl-NL"/>
        </w:rPr>
        <w:t xml:space="preserve">Temeljem članka 137. Zakona o odgoju i obrazovanju u osnovnoj i srednjoj školi,   sazivam </w:t>
      </w:r>
      <w:r>
        <w:rPr>
          <w:rFonts w:ascii="Times New Roman" w:hAnsi="Times New Roman" w:cs="Times New Roman"/>
          <w:b w:val="1"/>
          <w:sz w:val="24"/>
          <w:lang w:val="nl-NL"/>
        </w:rPr>
        <w:t>5</w:t>
      </w:r>
      <w:r>
        <w:rPr>
          <w:rFonts w:ascii="Times New Roman" w:hAnsi="Times New Roman" w:cs="Times New Roman"/>
          <w:b w:val="1"/>
          <w:sz w:val="24"/>
          <w:rtl w:val="0"/>
          <w:lang w:val="hr-HR" w:bidi="hr-HR" w:eastAsia="hr-HR"/>
        </w:rPr>
        <w:t>2</w:t>
      </w:r>
      <w:r>
        <w:rPr>
          <w:rFonts w:ascii="Times New Roman" w:hAnsi="Times New Roman" w:cs="Times New Roman"/>
          <w:b w:val="1"/>
          <w:sz w:val="24"/>
          <w:lang w:val="nl-NL"/>
        </w:rPr>
        <w:t>. sjednicu Vijeća roditelja</w:t>
      </w:r>
      <w:r>
        <w:rPr>
          <w:rFonts w:ascii="Times New Roman" w:hAnsi="Times New Roman" w:cs="Times New Roman"/>
          <w:sz w:val="24"/>
          <w:lang w:val="nl-NL"/>
        </w:rPr>
        <w:t>.</w:t>
      </w:r>
    </w:p>
    <w:p>
      <w:pPr>
        <w:spacing w:lineRule="auto" w:line="240" w:beforeAutospacing="0" w:afterAutospacing="0"/>
        <w:jc w:val="both"/>
        <w:rPr>
          <w:rFonts w:ascii="Times New Roman" w:hAnsi="Times New Roman" w:cs="Times New Roman"/>
          <w:sz w:val="24"/>
          <w:lang w:val="nl-NL"/>
        </w:rPr>
      </w:pPr>
      <w:r>
        <w:rPr>
          <w:rFonts w:ascii="Times New Roman" w:hAnsi="Times New Roman" w:cs="Times New Roman"/>
          <w:sz w:val="24"/>
          <w:lang w:val="nl-NL"/>
        </w:rPr>
        <w:t xml:space="preserve">              Sjednica će se održati </w:t>
      </w:r>
      <w:r>
        <w:rPr>
          <w:rFonts w:ascii="Times New Roman" w:hAnsi="Times New Roman" w:cs="Times New Roman"/>
          <w:b w:val="1"/>
          <w:sz w:val="24"/>
          <w:rtl w:val="0"/>
          <w:lang w:val="hr-HR" w:bidi="hr-HR" w:eastAsia="hr-HR"/>
        </w:rPr>
        <w:t>1. listopada</w:t>
      </w:r>
      <w:r>
        <w:rPr>
          <w:rFonts w:ascii="Times New Roman" w:hAnsi="Times New Roman" w:cs="Times New Roman"/>
          <w:b w:val="1"/>
          <w:sz w:val="24"/>
          <w:lang w:val="nl-NL"/>
        </w:rPr>
        <w:t xml:space="preserve"> 202</w:t>
      </w:r>
      <w:r>
        <w:rPr>
          <w:rFonts w:ascii="Times New Roman" w:hAnsi="Times New Roman" w:cs="Times New Roman"/>
          <w:b w:val="1"/>
          <w:sz w:val="24"/>
          <w:rtl w:val="0"/>
          <w:lang w:val="hr-HR" w:bidi="hr-HR" w:eastAsia="hr-HR"/>
        </w:rPr>
        <w:t>6</w:t>
      </w:r>
      <w:r>
        <w:rPr>
          <w:rFonts w:ascii="Times New Roman" w:hAnsi="Times New Roman" w:cs="Times New Roman"/>
          <w:b w:val="1"/>
          <w:sz w:val="24"/>
          <w:lang w:val="nl-NL"/>
        </w:rPr>
        <w:t>. godine (</w:t>
      </w:r>
      <w:r>
        <w:rPr>
          <w:rFonts w:ascii="Times New Roman" w:hAnsi="Times New Roman" w:cs="Times New Roman"/>
          <w:b w:val="1"/>
          <w:sz w:val="24"/>
          <w:rtl w:val="0"/>
          <w:lang w:val="hr-HR" w:bidi="hr-HR" w:eastAsia="hr-HR"/>
        </w:rPr>
        <w:t>četvrta</w:t>
      </w:r>
      <w:r>
        <w:rPr>
          <w:rFonts w:ascii="Times New Roman" w:hAnsi="Times New Roman" w:cs="Times New Roman"/>
          <w:b w:val="1"/>
          <w:sz w:val="24"/>
          <w:lang w:val="nl-NL"/>
        </w:rPr>
        <w:t>k) u 17.30 sati</w:t>
      </w:r>
      <w:r>
        <w:rPr>
          <w:rFonts w:ascii="Times New Roman" w:hAnsi="Times New Roman" w:cs="Times New Roman"/>
          <w:sz w:val="24"/>
          <w:lang w:val="nl-NL"/>
        </w:rPr>
        <w:t xml:space="preserve">.                                          Mjesto održavanja: učionica broj 28 (Glazbeni odgoj) na 1.katu Škole.</w:t>
      </w:r>
    </w:p>
    <w:p>
      <w:pPr>
        <w:spacing w:lineRule="auto" w:line="240" w:beforeAutospacing="0" w:afterAutospacing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Dnevni red:</w:t>
      </w:r>
    </w:p>
    <w:p>
      <w:pPr>
        <w:pStyle w:val="P2"/>
        <w:numPr>
          <w:ilvl w:val="0"/>
          <w:numId w:val="1"/>
        </w:numPr>
        <w:rPr>
          <w:szCs w:val="24"/>
          <w:lang w:val="hr-HR"/>
        </w:rPr>
      </w:pPr>
      <w:r>
        <w:rPr>
          <w:szCs w:val="24"/>
          <w:lang w:val="hr-HR"/>
        </w:rPr>
        <w:t xml:space="preserve">Kooptiranje novih članova u Vijeću roditelja </w:t>
      </w:r>
    </w:p>
    <w:p>
      <w:pPr>
        <w:pStyle w:val="P2"/>
        <w:numPr>
          <w:ilvl w:val="0"/>
          <w:numId w:val="1"/>
        </w:numPr>
        <w:rPr>
          <w:szCs w:val="24"/>
          <w:lang w:val="hr-HR"/>
        </w:rPr>
      </w:pPr>
      <w:r>
        <w:rPr>
          <w:szCs w:val="24"/>
          <w:lang w:val="hr-HR"/>
        </w:rPr>
        <w:t>Izbor predsjednika Vijeća roditelja</w:t>
      </w:r>
    </w:p>
    <w:p>
      <w:pPr>
        <w:pStyle w:val="P2"/>
        <w:numPr>
          <w:ilvl w:val="0"/>
          <w:numId w:val="1"/>
        </w:numPr>
        <w:rPr>
          <w:szCs w:val="24"/>
          <w:lang w:val="hr-HR"/>
        </w:rPr>
      </w:pPr>
      <w:r>
        <w:rPr>
          <w:szCs w:val="24"/>
          <w:lang w:val="hr-HR"/>
        </w:rPr>
        <w:t>Izvješće o odgojno-obrazovnom radu u školskoj godini 202</w:t>
      </w:r>
      <w:r>
        <w:rPr>
          <w:szCs w:val="24"/>
          <w:rtl w:val="0"/>
          <w:lang w:val="hr-HR" w:bidi="hr-HR" w:eastAsia="hr-HR"/>
        </w:rPr>
        <w:t>5</w:t>
      </w:r>
      <w:r>
        <w:rPr>
          <w:szCs w:val="24"/>
          <w:lang w:val="hr-HR"/>
        </w:rPr>
        <w:t>/2</w:t>
      </w:r>
      <w:r>
        <w:rPr>
          <w:szCs w:val="24"/>
          <w:rtl w:val="0"/>
          <w:lang w:val="hr-HR" w:bidi="hr-HR" w:eastAsia="hr-HR"/>
        </w:rPr>
        <w:t>6</w:t>
      </w:r>
      <w:r>
        <w:rPr>
          <w:szCs w:val="24"/>
          <w:lang w:val="hr-HR"/>
        </w:rPr>
        <w:t>.</w:t>
      </w:r>
    </w:p>
    <w:p>
      <w:pPr>
        <w:pStyle w:val="P2"/>
        <w:numPr>
          <w:ilvl w:val="0"/>
          <w:numId w:val="1"/>
        </w:numPr>
        <w:rPr>
          <w:szCs w:val="24"/>
          <w:lang w:val="hr-HR"/>
        </w:rPr>
      </w:pPr>
      <w:r>
        <w:rPr>
          <w:szCs w:val="24"/>
          <w:lang w:val="hr-HR"/>
        </w:rPr>
        <w:t>Rasprava o Godišnjem planu i programu rada škole za školsku godinu 202</w:t>
      </w:r>
      <w:r>
        <w:rPr>
          <w:szCs w:val="24"/>
          <w:rtl w:val="0"/>
          <w:lang w:val="hr-HR" w:bidi="hr-HR" w:eastAsia="hr-HR"/>
        </w:rPr>
        <w:t>6</w:t>
      </w:r>
      <w:r>
        <w:rPr>
          <w:szCs w:val="24"/>
          <w:lang w:val="hr-HR"/>
        </w:rPr>
        <w:t>/2</w:t>
      </w:r>
      <w:r>
        <w:rPr>
          <w:szCs w:val="24"/>
          <w:rtl w:val="0"/>
          <w:lang w:val="hr-HR" w:bidi="hr-HR" w:eastAsia="hr-HR"/>
        </w:rPr>
        <w:t>7</w:t>
      </w:r>
      <w:r>
        <w:rPr>
          <w:szCs w:val="24"/>
          <w:lang w:val="hr-HR"/>
        </w:rPr>
        <w:t>. i upućivanje prijedloga Školskom odboru na usvajanje</w:t>
      </w:r>
    </w:p>
    <w:p>
      <w:pPr>
        <w:pStyle w:val="P2"/>
        <w:numPr>
          <w:ilvl w:val="0"/>
          <w:numId w:val="1"/>
        </w:numPr>
        <w:rPr>
          <w:szCs w:val="24"/>
          <w:lang w:val="hr-HR"/>
        </w:rPr>
      </w:pPr>
      <w:r>
        <w:rPr>
          <w:szCs w:val="24"/>
          <w:lang w:val="hr-HR"/>
        </w:rPr>
        <w:t>Rasprava o Školskom kurikulumu za školsku godinu 202</w:t>
      </w:r>
      <w:r>
        <w:rPr>
          <w:szCs w:val="24"/>
          <w:rtl w:val="0"/>
          <w:lang w:val="hr-HR" w:bidi="hr-HR" w:eastAsia="hr-HR"/>
        </w:rPr>
        <w:t>6</w:t>
      </w:r>
      <w:r>
        <w:rPr>
          <w:szCs w:val="24"/>
          <w:lang w:val="hr-HR"/>
        </w:rPr>
        <w:t>/2</w:t>
      </w:r>
      <w:r>
        <w:rPr>
          <w:szCs w:val="24"/>
          <w:rtl w:val="0"/>
          <w:lang w:val="hr-HR" w:bidi="hr-HR" w:eastAsia="hr-HR"/>
        </w:rPr>
        <w:t>7</w:t>
      </w:r>
      <w:r>
        <w:rPr>
          <w:szCs w:val="24"/>
          <w:lang w:val="hr-HR"/>
        </w:rPr>
        <w:t>. i upućivanje prijedloga Školskom odboru na usvajanje</w:t>
      </w:r>
    </w:p>
    <w:p>
      <w:pPr>
        <w:pStyle w:val="P2"/>
        <w:numPr>
          <w:ilvl w:val="0"/>
          <w:numId w:val="1"/>
        </w:numPr>
        <w:rPr>
          <w:szCs w:val="24"/>
          <w:lang w:val="hr-HR"/>
        </w:rPr>
      </w:pPr>
      <w:r>
        <w:rPr>
          <w:szCs w:val="24"/>
          <w:lang w:val="hr-HR"/>
        </w:rPr>
        <w:t>Predstavljanje Školskog razvojnog plana za školsku godinu 202</w:t>
      </w:r>
      <w:r>
        <w:rPr>
          <w:szCs w:val="24"/>
          <w:rtl w:val="0"/>
          <w:lang w:val="hr-HR" w:bidi="hr-HR" w:eastAsia="hr-HR"/>
        </w:rPr>
        <w:t>6</w:t>
      </w:r>
      <w:r>
        <w:rPr>
          <w:szCs w:val="24"/>
          <w:lang w:val="hr-HR"/>
        </w:rPr>
        <w:t>/2</w:t>
      </w:r>
      <w:r>
        <w:rPr>
          <w:szCs w:val="24"/>
          <w:rtl w:val="0"/>
          <w:lang w:val="hr-HR" w:bidi="hr-HR" w:eastAsia="hr-HR"/>
        </w:rPr>
        <w:t>7</w:t>
      </w:r>
      <w:r>
        <w:rPr>
          <w:szCs w:val="24"/>
          <w:lang w:val="hr-HR"/>
        </w:rPr>
        <w:t>.</w:t>
      </w:r>
    </w:p>
    <w:p>
      <w:pPr>
        <w:pStyle w:val="P2"/>
        <w:numPr>
          <w:ilvl w:val="0"/>
          <w:numId w:val="1"/>
        </w:numPr>
        <w:rPr>
          <w:szCs w:val="24"/>
          <w:lang w:val="hr-HR"/>
        </w:rPr>
      </w:pPr>
      <w:r>
        <w:rPr>
          <w:szCs w:val="24"/>
          <w:lang w:val="hr-HR"/>
        </w:rPr>
        <w:t>Razmatranje i izbor ponuda za osiguranje učenika OŠ Višnjevac</w:t>
      </w:r>
    </w:p>
    <w:p>
      <w:pPr>
        <w:pStyle w:val="P2"/>
        <w:numPr>
          <w:ilvl w:val="0"/>
          <w:numId w:val="1"/>
        </w:numPr>
        <w:rPr>
          <w:szCs w:val="24"/>
          <w:lang w:val="hr-HR"/>
        </w:rPr>
      </w:pPr>
      <w:r>
        <w:rPr>
          <w:szCs w:val="24"/>
          <w:lang w:val="hr-HR"/>
        </w:rPr>
        <w:t>Pitanja i prijedlozi</w:t>
      </w:r>
    </w:p>
    <w:p>
      <w:pPr>
        <w:pStyle w:val="P2"/>
        <w:ind w:left="720"/>
        <w:rPr>
          <w:szCs w:val="24"/>
          <w:lang w:val="hr-HR"/>
        </w:rPr>
      </w:pPr>
    </w:p>
    <w:p>
      <w:pPr>
        <w:spacing w:lineRule="auto" w:line="240" w:beforeAutospacing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</w:t>
      </w:r>
      <w:r>
        <w:rPr>
          <w:rFonts w:ascii="Times New Roman" w:hAnsi="Times New Roman" w:cs="Times New Roman"/>
          <w:sz w:val="24"/>
          <w:lang w:val="es-ES"/>
        </w:rPr>
        <w:t>Uljudno molimo sve pozvane da se odazovu sjednici</w:t>
      </w:r>
      <w:r>
        <w:rPr>
          <w:rFonts w:ascii="Times New Roman" w:hAnsi="Times New Roman" w:cs="Times New Roman"/>
          <w:sz w:val="24"/>
        </w:rPr>
        <w:t>. Spriječenost molimo unaprijed opravdati</w:t>
      </w:r>
      <w:r>
        <w:rPr>
          <w:rFonts w:ascii="Times New Roman" w:hAnsi="Times New Roman" w:cs="Times New Roman"/>
          <w:sz w:val="24"/>
          <w:rtl w:val="0"/>
          <w:lang w:val="hr-HR" w:bidi="hr-HR" w:eastAsia="hr-HR"/>
        </w:rPr>
        <w:t>.</w:t>
      </w:r>
    </w:p>
    <w:p>
      <w:pPr>
        <w:spacing w:lineRule="auto" w:line="240" w:beforeAutospacing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S osobitim poštovanjem,</w:t>
      </w:r>
    </w:p>
    <w:p>
      <w:pPr>
        <w:spacing w:lineRule="auto" w:line="240" w:beforeAutospacing="0" w:afterAutospacing="0"/>
        <w:jc w:val="both"/>
        <w:rPr>
          <w:rFonts w:ascii="Times New Roman" w:hAnsi="Times New Roman" w:cs="Times New Roman"/>
          <w:sz w:val="24"/>
        </w:rPr>
      </w:pPr>
    </w:p>
    <w:p>
      <w:pPr>
        <w:spacing w:lineRule="auto" w:line="240" w:beforeAutospacing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Za točnost otpravka:                                                                      Ravnatelj:                                                                  </w:t>
      </w:r>
    </w:p>
    <w:p>
      <w:pPr>
        <w:tabs>
          <w:tab w:val="left" w:pos="5445" w:leader="none"/>
          <w:tab w:val="left" w:pos="6465" w:leader="none"/>
        </w:tabs>
        <w:spacing w:lineRule="auto" w:line="240" w:beforeAutospacing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Biljana Mrdović-Varevac,                                           </w:t>
        <w:tab/>
        <w:tab/>
        <w:t>Dane Končar, prof.</w:t>
      </w:r>
    </w:p>
    <w:p>
      <w:pPr>
        <w:spacing w:lineRule="auto" w:line="240" w:beforeAutospacing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  <w:lang w:val="de-DE"/>
        </w:rPr>
        <w:t>dipl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  <w:lang w:val="de-DE"/>
        </w:rPr>
        <w:t>psiholog</w:t>
      </w:r>
      <w:r>
        <w:rPr>
          <w:rFonts w:ascii="Times New Roman" w:hAnsi="Times New Roman" w:cs="Times New Roman"/>
          <w:sz w:val="24"/>
        </w:rPr>
        <w:t xml:space="preserve">           </w:t>
      </w:r>
    </w:p>
    <w:sectPr>
      <w:type w:val="nextPage"/>
      <w:pgSz w:w="11906" w:h="16838" w:code="0"/>
      <w:pgMar w:left="1417" w:right="1417" w:top="1417" w:bottom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7ECF1A78"/>
    <w:multiLevelType w:val="hybridMultilevel"/>
    <w:lvl w:ilvl="0" w:tplc="3836ED6C">
      <w:start w:val="1"/>
      <w:numFmt w:val="decimal"/>
      <w:suff w:val="tab"/>
      <w:lvlText w:val="%1."/>
      <w:lvlJc w:val="left"/>
      <w:pPr>
        <w:ind w:hanging="360" w:left="720"/>
        <w:tabs>
          <w:tab w:val="num" w:pos="720" w:leader="none"/>
        </w:tabs>
      </w:pPr>
      <w:rPr/>
    </w:lvl>
    <w:lvl w:ilvl="1" w:tplc="041A0019">
      <w:start w:val="1"/>
      <w:numFmt w:val="decimal"/>
      <w:suff w:val="tab"/>
      <w:lvlText w:val="%2."/>
      <w:lvlJc w:val="left"/>
      <w:pPr>
        <w:ind w:hanging="360" w:left="1440"/>
        <w:tabs>
          <w:tab w:val="num" w:pos="1440" w:leader="none"/>
        </w:tabs>
      </w:pPr>
      <w:rPr/>
    </w:lvl>
    <w:lvl w:ilvl="2" w:tplc="041A001B">
      <w:start w:val="1"/>
      <w:numFmt w:val="decimal"/>
      <w:suff w:val="tab"/>
      <w:lvlText w:val="%3."/>
      <w:lvlJc w:val="left"/>
      <w:pPr>
        <w:ind w:hanging="360" w:left="2160"/>
        <w:tabs>
          <w:tab w:val="num" w:pos="2160" w:leader="none"/>
        </w:tabs>
      </w:pPr>
      <w:rPr/>
    </w:lvl>
    <w:lvl w:ilvl="3" w:tplc="041A000F">
      <w:start w:val="1"/>
      <w:numFmt w:val="decimal"/>
      <w:suff w:val="tab"/>
      <w:lvlText w:val="%4."/>
      <w:lvlJc w:val="left"/>
      <w:pPr>
        <w:ind w:hanging="360" w:left="2880"/>
        <w:tabs>
          <w:tab w:val="num" w:pos="2880" w:leader="none"/>
        </w:tabs>
      </w:pPr>
      <w:rPr/>
    </w:lvl>
    <w:lvl w:ilvl="4" w:tplc="041A0019">
      <w:start w:val="1"/>
      <w:numFmt w:val="decimal"/>
      <w:suff w:val="tab"/>
      <w:lvlText w:val="%5."/>
      <w:lvlJc w:val="left"/>
      <w:pPr>
        <w:ind w:hanging="360" w:left="3600"/>
        <w:tabs>
          <w:tab w:val="num" w:pos="3600" w:leader="none"/>
        </w:tabs>
      </w:pPr>
      <w:rPr/>
    </w:lvl>
    <w:lvl w:ilvl="5" w:tplc="041A001B">
      <w:start w:val="1"/>
      <w:numFmt w:val="decimal"/>
      <w:suff w:val="tab"/>
      <w:lvlText w:val="%6."/>
      <w:lvlJc w:val="left"/>
      <w:pPr>
        <w:ind w:hanging="360" w:left="4320"/>
        <w:tabs>
          <w:tab w:val="num" w:pos="4320" w:leader="none"/>
        </w:tabs>
      </w:pPr>
      <w:rPr/>
    </w:lvl>
    <w:lvl w:ilvl="6" w:tplc="041A000F">
      <w:start w:val="1"/>
      <w:numFmt w:val="decimal"/>
      <w:suff w:val="tab"/>
      <w:lvlText w:val="%7."/>
      <w:lvlJc w:val="left"/>
      <w:pPr>
        <w:ind w:hanging="360" w:left="5040"/>
        <w:tabs>
          <w:tab w:val="num" w:pos="5040" w:leader="none"/>
        </w:tabs>
      </w:pPr>
      <w:rPr/>
    </w:lvl>
    <w:lvl w:ilvl="7" w:tplc="041A0019">
      <w:start w:val="1"/>
      <w:numFmt w:val="decimal"/>
      <w:suff w:val="tab"/>
      <w:lvlText w:val="%8."/>
      <w:lvlJc w:val="left"/>
      <w:pPr>
        <w:ind w:hanging="360" w:left="5760"/>
        <w:tabs>
          <w:tab w:val="num" w:pos="5760" w:leader="none"/>
        </w:tabs>
      </w:pPr>
      <w:rPr/>
    </w:lvl>
    <w:lvl w:ilvl="8" w:tplc="041A001B">
      <w:start w:val="1"/>
      <w:numFmt w:val="decimal"/>
      <w:suff w:val="tab"/>
      <w:lvlText w:val="%9."/>
      <w:lvlJc w:val="left"/>
      <w:pPr>
        <w:ind w:hanging="360" w:left="6480"/>
        <w:tabs>
          <w:tab w:val="num" w:pos="6480" w:leader="none"/>
        </w:tabs>
      </w:pPr>
      <w:rPr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hyphenationZone w:val="425"/>
  <w:evenAndOddHeaders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hr-HR" w:bidi="ar-SA" w:eastAsia="en-US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76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>
      <w:spacing w:after="200" w:beforeAutospacing="0" w:afterAutospacing="0"/>
    </w:pPr>
    <w:rPr>
      <w:rFonts w:eastAsiaTheme="minorEastAsia"/>
      <w:lang w:eastAsia="hr-HR"/>
    </w:rPr>
  </w:style>
  <w:style w:type="paragraph" w:styleId="P1">
    <w:name w:val="Heading 2"/>
    <w:basedOn w:val="P0"/>
    <w:next w:val="P0"/>
    <w:link w:val="C3"/>
    <w:semiHidden/>
    <w:qFormat/>
    <w:pPr>
      <w:keepNext w:val="1"/>
      <w:spacing w:lineRule="auto" w:line="240" w:after="0" w:beforeAutospacing="0" w:afterAutospacing="0"/>
      <w:outlineLvl w:val="1"/>
    </w:pPr>
    <w:rPr>
      <w:rFonts w:ascii="Times New Roman" w:hAnsi="Times New Roman" w:cs="Times New Roman" w:eastAsia="Times New Roman"/>
      <w:sz w:val="24"/>
      <w:szCs w:val="20"/>
      <w:lang w:val="en-GB"/>
    </w:rPr>
  </w:style>
  <w:style w:type="paragraph" w:styleId="P2">
    <w:name w:val="Body Text"/>
    <w:basedOn w:val="P0"/>
    <w:link w:val="C4"/>
    <w:pPr>
      <w:spacing w:lineRule="auto" w:line="240" w:after="0" w:beforeAutospacing="0" w:afterAutospacing="0"/>
    </w:pPr>
    <w:rPr>
      <w:rFonts w:ascii="Times New Roman" w:hAnsi="Times New Roman" w:cs="Times New Roman" w:eastAsia="Times New Roman"/>
      <w:sz w:val="24"/>
      <w:szCs w:val="20"/>
      <w:lang w:val="en-GB"/>
    </w:rPr>
  </w:style>
  <w:style w:type="paragraph" w:styleId="P3">
    <w:name w:val="Balloon Text"/>
    <w:basedOn w:val="P0"/>
    <w:link w:val="C5"/>
    <w:semiHidden/>
    <w:pPr>
      <w:spacing w:lineRule="auto" w:line="240" w:after="0" w:beforeAutospacing="0" w:afterAutospacing="0"/>
    </w:pPr>
    <w:rPr>
      <w:rFonts w:ascii="Segoe UI" w:hAnsi="Segoe UI" w:cs="Segoe UI"/>
      <w:sz w:val="18"/>
      <w:szCs w:val="18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Heading 2 Char"/>
    <w:basedOn w:val="C0"/>
    <w:link w:val="P1"/>
    <w:semiHidden/>
    <w:rPr>
      <w:rFonts w:ascii="Times New Roman" w:hAnsi="Times New Roman" w:cs="Times New Roman" w:eastAsia="Times New Roman"/>
      <w:sz w:val="24"/>
      <w:szCs w:val="20"/>
      <w:lang w:val="en-GB" w:eastAsia="hr-HR"/>
    </w:rPr>
  </w:style>
  <w:style w:type="character" w:styleId="C4">
    <w:name w:val="Body Text Char"/>
    <w:basedOn w:val="C0"/>
    <w:link w:val="P2"/>
    <w:rPr>
      <w:rFonts w:ascii="Times New Roman" w:hAnsi="Times New Roman" w:cs="Times New Roman" w:eastAsia="Times New Roman"/>
      <w:sz w:val="24"/>
      <w:szCs w:val="20"/>
      <w:lang w:val="en-GB" w:eastAsia="hr-HR"/>
    </w:rPr>
  </w:style>
  <w:style w:type="character" w:styleId="C5">
    <w:name w:val="Balloon Text Char"/>
    <w:basedOn w:val="C0"/>
    <w:link w:val="P3"/>
    <w:semiHidden/>
    <w:rPr>
      <w:rFonts w:ascii="Segoe UI" w:hAnsi="Segoe UI" w:cs="Segoe UI" w:eastAsiaTheme="minorEastAsia"/>
      <w:sz w:val="18"/>
      <w:szCs w:val="18"/>
      <w:lang w:eastAsia="hr-HR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API/22.1.4.0</Application>
  <AppVersion>22.1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dcterms:created xsi:type="dcterms:W3CDTF">2026-09-29T10:11:45Z</dcterms:created>
  <cp:lastPrinted>2025-09-25T13:12:00Z</cp:lastPrinted>
  <dcterms:modified xsi:type="dcterms:W3CDTF">2026-09-29T10:16:35Z</dcterms:modified>
  <cp:revision>3</cp:revision>
</cp:coreProperties>
</file>